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A889"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 xml:space="preserve">Written Standards Checklist- </w:t>
      </w:r>
      <w:r w:rsidR="008B3582">
        <w:rPr>
          <w:rFonts w:asciiTheme="minorHAnsi" w:hAnsiTheme="minorHAnsi"/>
          <w:b/>
          <w:sz w:val="32"/>
          <w:szCs w:val="32"/>
        </w:rPr>
        <w:t>Rapid Rehousing Program</w:t>
      </w:r>
    </w:p>
    <w:p w14:paraId="0DB98230" w14:textId="77777777" w:rsidR="00FB4ECF" w:rsidRDefault="00FB4ECF" w:rsidP="00ED1B9C">
      <w:pPr>
        <w:jc w:val="center"/>
        <w:rPr>
          <w:rFonts w:asciiTheme="minorHAnsi" w:hAnsiTheme="minorHAnsi"/>
          <w:b/>
          <w:sz w:val="32"/>
          <w:szCs w:val="32"/>
        </w:rPr>
      </w:pPr>
    </w:p>
    <w:p w14:paraId="20C42D01" w14:textId="77777777" w:rsidR="00FB4ECF" w:rsidRPr="00ED1B9C" w:rsidRDefault="00FB4ECF" w:rsidP="00FB4ECF">
      <w:pPr>
        <w:jc w:val="center"/>
        <w:rPr>
          <w:rFonts w:asciiTheme="minorHAnsi" w:hAnsiTheme="minorHAnsi"/>
          <w:b/>
          <w:sz w:val="32"/>
          <w:szCs w:val="32"/>
        </w:rPr>
      </w:pPr>
      <w:r>
        <w:rPr>
          <w:rFonts w:asciiTheme="minorHAnsi" w:hAnsiTheme="minorHAnsi"/>
          <w:b/>
          <w:sz w:val="32"/>
          <w:szCs w:val="32"/>
        </w:rPr>
        <w:t>Agency:_____________________   Program(s):___________________________</w:t>
      </w:r>
    </w:p>
    <w:p w14:paraId="20FF305E" w14:textId="77777777"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14:paraId="22E74A23" w14:textId="77777777" w:rsidTr="002F5E2E">
        <w:trPr>
          <w:trHeight w:val="301"/>
        </w:trPr>
        <w:tc>
          <w:tcPr>
            <w:tcW w:w="7759" w:type="dxa"/>
            <w:shd w:val="clear" w:color="auto" w:fill="D9D9D9" w:themeFill="background1" w:themeFillShade="D9"/>
          </w:tcPr>
          <w:p w14:paraId="78EF580B"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11118C4B"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693FDB1B"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51C58E0C"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53ABE068" w14:textId="77777777" w:rsidTr="002F5E2E">
        <w:trPr>
          <w:trHeight w:val="301"/>
        </w:trPr>
        <w:tc>
          <w:tcPr>
            <w:tcW w:w="7759" w:type="dxa"/>
          </w:tcPr>
          <w:p w14:paraId="2970C9BD" w14:textId="25AA44FF" w:rsidR="00ED1B9C" w:rsidRPr="006961DB" w:rsidRDefault="006961DB" w:rsidP="006961DB">
            <w:pPr>
              <w:pStyle w:val="ListParagraph"/>
              <w:numPr>
                <w:ilvl w:val="0"/>
                <w:numId w:val="17"/>
              </w:numPr>
              <w:rPr>
                <w:sz w:val="22"/>
                <w:szCs w:val="22"/>
              </w:rPr>
            </w:pPr>
            <w:r w:rsidRPr="006961DB">
              <w:rPr>
                <w:sz w:val="22"/>
                <w:szCs w:val="22"/>
              </w:rPr>
              <w:t xml:space="preserve">RRH projects will use Housing First approaches, following the Minimum Standards listed in the Housing First section of the Written Standards. </w:t>
            </w:r>
          </w:p>
        </w:tc>
        <w:tc>
          <w:tcPr>
            <w:tcW w:w="529" w:type="dxa"/>
          </w:tcPr>
          <w:p w14:paraId="66F81EC4" w14:textId="77777777" w:rsidR="00ED1B9C" w:rsidRPr="00ED1B9C" w:rsidRDefault="00ED1B9C">
            <w:pPr>
              <w:rPr>
                <w:rFonts w:asciiTheme="minorHAnsi" w:hAnsiTheme="minorHAnsi"/>
                <w:sz w:val="20"/>
                <w:szCs w:val="20"/>
              </w:rPr>
            </w:pPr>
          </w:p>
        </w:tc>
        <w:tc>
          <w:tcPr>
            <w:tcW w:w="538" w:type="dxa"/>
          </w:tcPr>
          <w:p w14:paraId="57C12D81" w14:textId="77777777" w:rsidR="00ED1B9C" w:rsidRPr="00ED1B9C" w:rsidRDefault="00ED1B9C">
            <w:pPr>
              <w:rPr>
                <w:rFonts w:asciiTheme="minorHAnsi" w:hAnsiTheme="minorHAnsi"/>
                <w:sz w:val="20"/>
                <w:szCs w:val="20"/>
              </w:rPr>
            </w:pPr>
          </w:p>
        </w:tc>
        <w:tc>
          <w:tcPr>
            <w:tcW w:w="2329" w:type="dxa"/>
          </w:tcPr>
          <w:p w14:paraId="28FB81B6" w14:textId="77777777" w:rsidR="00ED1B9C" w:rsidRPr="00ED1B9C" w:rsidRDefault="00ED1B9C">
            <w:pPr>
              <w:rPr>
                <w:rFonts w:asciiTheme="minorHAnsi" w:hAnsiTheme="minorHAnsi"/>
                <w:sz w:val="20"/>
                <w:szCs w:val="20"/>
              </w:rPr>
            </w:pPr>
          </w:p>
        </w:tc>
      </w:tr>
      <w:tr w:rsidR="00ED1B9C" w:rsidRPr="00ED1B9C" w14:paraId="0E8CD154" w14:textId="77777777" w:rsidTr="002F5E2E">
        <w:trPr>
          <w:trHeight w:val="301"/>
        </w:trPr>
        <w:tc>
          <w:tcPr>
            <w:tcW w:w="7759" w:type="dxa"/>
          </w:tcPr>
          <w:p w14:paraId="03CCE5F4" w14:textId="5869D45F" w:rsidR="00066F02" w:rsidRPr="001C5F45" w:rsidRDefault="006961DB" w:rsidP="006961DB">
            <w:pPr>
              <w:pStyle w:val="ListParagraph"/>
              <w:numPr>
                <w:ilvl w:val="0"/>
                <w:numId w:val="17"/>
              </w:numPr>
              <w:spacing w:after="0" w:line="240" w:lineRule="auto"/>
              <w:rPr>
                <w:iCs/>
                <w:sz w:val="22"/>
                <w:szCs w:val="22"/>
              </w:rPr>
            </w:pPr>
            <w:r>
              <w:rPr>
                <w:iCs/>
                <w:sz w:val="22"/>
                <w:szCs w:val="22"/>
              </w:rPr>
              <w:t xml:space="preserve">Upon project entry, RRH projects will assess participants for their needs for supportive services, including housing search and placement, housing stability case management, mediation, legal services, and credit repair. </w:t>
            </w:r>
          </w:p>
          <w:p w14:paraId="669E71E4" w14:textId="77777777" w:rsidR="00ED1B9C" w:rsidRPr="00ED1B9C" w:rsidRDefault="00ED1B9C">
            <w:pPr>
              <w:rPr>
                <w:rFonts w:asciiTheme="minorHAnsi" w:hAnsiTheme="minorHAnsi"/>
                <w:sz w:val="20"/>
                <w:szCs w:val="20"/>
              </w:rPr>
            </w:pPr>
          </w:p>
        </w:tc>
        <w:tc>
          <w:tcPr>
            <w:tcW w:w="529" w:type="dxa"/>
          </w:tcPr>
          <w:p w14:paraId="67843721" w14:textId="77777777" w:rsidR="00ED1B9C" w:rsidRPr="00ED1B9C" w:rsidRDefault="00ED1B9C">
            <w:pPr>
              <w:rPr>
                <w:rFonts w:asciiTheme="minorHAnsi" w:hAnsiTheme="minorHAnsi"/>
                <w:sz w:val="20"/>
                <w:szCs w:val="20"/>
              </w:rPr>
            </w:pPr>
          </w:p>
        </w:tc>
        <w:tc>
          <w:tcPr>
            <w:tcW w:w="538" w:type="dxa"/>
          </w:tcPr>
          <w:p w14:paraId="5643DE21" w14:textId="77777777" w:rsidR="00ED1B9C" w:rsidRPr="00ED1B9C" w:rsidRDefault="00ED1B9C">
            <w:pPr>
              <w:rPr>
                <w:rFonts w:asciiTheme="minorHAnsi" w:hAnsiTheme="minorHAnsi"/>
                <w:sz w:val="20"/>
                <w:szCs w:val="20"/>
              </w:rPr>
            </w:pPr>
          </w:p>
        </w:tc>
        <w:tc>
          <w:tcPr>
            <w:tcW w:w="2329" w:type="dxa"/>
          </w:tcPr>
          <w:p w14:paraId="04AD7C79" w14:textId="77777777" w:rsidR="00ED1B9C" w:rsidRPr="00ED1B9C" w:rsidRDefault="00ED1B9C">
            <w:pPr>
              <w:rPr>
                <w:rFonts w:asciiTheme="minorHAnsi" w:hAnsiTheme="minorHAnsi"/>
                <w:sz w:val="20"/>
                <w:szCs w:val="20"/>
              </w:rPr>
            </w:pPr>
          </w:p>
        </w:tc>
      </w:tr>
      <w:tr w:rsidR="00730C07" w:rsidRPr="00ED1B9C" w14:paraId="65E5FBE1" w14:textId="77777777" w:rsidTr="002F5E2E">
        <w:trPr>
          <w:trHeight w:val="301"/>
        </w:trPr>
        <w:tc>
          <w:tcPr>
            <w:tcW w:w="7759" w:type="dxa"/>
          </w:tcPr>
          <w:p w14:paraId="4B472CCD" w14:textId="73CAD60F" w:rsidR="00730C07" w:rsidRPr="00730C07" w:rsidRDefault="006961DB" w:rsidP="006961DB">
            <w:pPr>
              <w:pStyle w:val="ListParagraph"/>
              <w:numPr>
                <w:ilvl w:val="0"/>
                <w:numId w:val="17"/>
              </w:numPr>
              <w:spacing w:after="0" w:line="240" w:lineRule="auto"/>
              <w:rPr>
                <w:iCs/>
                <w:sz w:val="22"/>
                <w:szCs w:val="22"/>
              </w:rPr>
            </w:pPr>
            <w:r>
              <w:rPr>
                <w:sz w:val="22"/>
                <w:szCs w:val="22"/>
              </w:rPr>
              <w:t xml:space="preserve">Program staff will assist participants in locating housing for a minimum of 90 days. The frequency and level of housing search and placement assistance will vary based on program participant need. Initial contacts with the participant will typically be at least weekly and continued contacts will be at least monthly. In-person contact is preferred whenever possible. </w:t>
            </w:r>
          </w:p>
        </w:tc>
        <w:tc>
          <w:tcPr>
            <w:tcW w:w="529" w:type="dxa"/>
          </w:tcPr>
          <w:p w14:paraId="048E918A" w14:textId="77777777" w:rsidR="00730C07" w:rsidRPr="00ED1B9C" w:rsidRDefault="00730C07">
            <w:pPr>
              <w:rPr>
                <w:rFonts w:asciiTheme="minorHAnsi" w:hAnsiTheme="minorHAnsi"/>
                <w:sz w:val="20"/>
                <w:szCs w:val="20"/>
              </w:rPr>
            </w:pPr>
          </w:p>
        </w:tc>
        <w:tc>
          <w:tcPr>
            <w:tcW w:w="538" w:type="dxa"/>
          </w:tcPr>
          <w:p w14:paraId="6C71FF2C" w14:textId="77777777" w:rsidR="00730C07" w:rsidRPr="00ED1B9C" w:rsidRDefault="00730C07">
            <w:pPr>
              <w:rPr>
                <w:rFonts w:asciiTheme="minorHAnsi" w:hAnsiTheme="minorHAnsi"/>
                <w:sz w:val="20"/>
                <w:szCs w:val="20"/>
              </w:rPr>
            </w:pPr>
          </w:p>
        </w:tc>
        <w:tc>
          <w:tcPr>
            <w:tcW w:w="2329" w:type="dxa"/>
          </w:tcPr>
          <w:p w14:paraId="6C5722FC" w14:textId="77777777" w:rsidR="00730C07" w:rsidRPr="00ED1B9C" w:rsidRDefault="00730C07">
            <w:pPr>
              <w:rPr>
                <w:rFonts w:asciiTheme="minorHAnsi" w:hAnsiTheme="minorHAnsi"/>
                <w:sz w:val="20"/>
                <w:szCs w:val="20"/>
              </w:rPr>
            </w:pPr>
          </w:p>
        </w:tc>
      </w:tr>
      <w:tr w:rsidR="00ED1B9C" w:rsidRPr="00ED1B9C" w14:paraId="5BD41548" w14:textId="77777777" w:rsidTr="002F5E2E">
        <w:trPr>
          <w:trHeight w:val="301"/>
        </w:trPr>
        <w:tc>
          <w:tcPr>
            <w:tcW w:w="7759" w:type="dxa"/>
          </w:tcPr>
          <w:p w14:paraId="42FCDAF4" w14:textId="7C1D567A" w:rsidR="00ED1B9C" w:rsidRPr="00730C07" w:rsidRDefault="006961DB" w:rsidP="006961DB">
            <w:pPr>
              <w:pStyle w:val="ListParagraph"/>
              <w:numPr>
                <w:ilvl w:val="0"/>
                <w:numId w:val="17"/>
              </w:numPr>
              <w:rPr>
                <w:sz w:val="22"/>
                <w:szCs w:val="22"/>
              </w:rPr>
            </w:pPr>
            <w:r>
              <w:rPr>
                <w:sz w:val="22"/>
                <w:szCs w:val="22"/>
              </w:rPr>
              <w:t xml:space="preserve">Supportive services designed to meet the needs of the project participants must be made available throughout the duration of participation in the RRH project. If services such as mediation, legal services or credit repair is not provided by the project, staff will make appropriate referrals. </w:t>
            </w:r>
            <w:r w:rsidR="00730C07" w:rsidRPr="00730C07">
              <w:rPr>
                <w:sz w:val="22"/>
                <w:szCs w:val="22"/>
              </w:rPr>
              <w:t xml:space="preserve"> </w:t>
            </w:r>
          </w:p>
        </w:tc>
        <w:tc>
          <w:tcPr>
            <w:tcW w:w="529" w:type="dxa"/>
          </w:tcPr>
          <w:p w14:paraId="796891E9" w14:textId="77777777" w:rsidR="00ED1B9C" w:rsidRPr="00ED1B9C" w:rsidRDefault="00ED1B9C">
            <w:pPr>
              <w:rPr>
                <w:rFonts w:asciiTheme="minorHAnsi" w:hAnsiTheme="minorHAnsi"/>
                <w:sz w:val="20"/>
                <w:szCs w:val="20"/>
              </w:rPr>
            </w:pPr>
          </w:p>
        </w:tc>
        <w:tc>
          <w:tcPr>
            <w:tcW w:w="538" w:type="dxa"/>
          </w:tcPr>
          <w:p w14:paraId="3BB29E97" w14:textId="77777777" w:rsidR="00ED1B9C" w:rsidRPr="00ED1B9C" w:rsidRDefault="00ED1B9C">
            <w:pPr>
              <w:rPr>
                <w:rFonts w:asciiTheme="minorHAnsi" w:hAnsiTheme="minorHAnsi"/>
                <w:sz w:val="20"/>
                <w:szCs w:val="20"/>
              </w:rPr>
            </w:pPr>
          </w:p>
        </w:tc>
        <w:tc>
          <w:tcPr>
            <w:tcW w:w="2329" w:type="dxa"/>
          </w:tcPr>
          <w:p w14:paraId="4E7AE5F0" w14:textId="77777777" w:rsidR="00ED1B9C" w:rsidRPr="00ED1B9C" w:rsidRDefault="00ED1B9C">
            <w:pPr>
              <w:rPr>
                <w:rFonts w:asciiTheme="minorHAnsi" w:hAnsiTheme="minorHAnsi"/>
                <w:sz w:val="20"/>
                <w:szCs w:val="20"/>
              </w:rPr>
            </w:pPr>
          </w:p>
        </w:tc>
      </w:tr>
      <w:tr w:rsidR="00ED1B9C" w:rsidRPr="00ED1B9C" w14:paraId="75BF1DF1" w14:textId="77777777" w:rsidTr="002F5E2E">
        <w:trPr>
          <w:trHeight w:val="301"/>
        </w:trPr>
        <w:tc>
          <w:tcPr>
            <w:tcW w:w="7759" w:type="dxa"/>
          </w:tcPr>
          <w:p w14:paraId="70F95080" w14:textId="3E8EB244" w:rsidR="00730C07" w:rsidRPr="006961DB" w:rsidRDefault="006961DB" w:rsidP="006961DB">
            <w:pPr>
              <w:pStyle w:val="ListParagraph"/>
              <w:numPr>
                <w:ilvl w:val="0"/>
                <w:numId w:val="17"/>
              </w:numPr>
              <w:rPr>
                <w:rFonts w:cstheme="minorHAnsi"/>
                <w:sz w:val="22"/>
                <w:szCs w:val="22"/>
              </w:rPr>
            </w:pPr>
            <w:r>
              <w:rPr>
                <w:rFonts w:cstheme="minorHAnsi"/>
                <w:sz w:val="22"/>
                <w:szCs w:val="22"/>
              </w:rPr>
              <w:t xml:space="preserve">RRH programs will connect households with community resources and mainstream benefits to allow for individual resources to be used for housing costs. </w:t>
            </w:r>
          </w:p>
        </w:tc>
        <w:tc>
          <w:tcPr>
            <w:tcW w:w="529" w:type="dxa"/>
          </w:tcPr>
          <w:p w14:paraId="27922467" w14:textId="77777777" w:rsidR="00ED1B9C" w:rsidRPr="00ED1B9C" w:rsidRDefault="00ED1B9C">
            <w:pPr>
              <w:rPr>
                <w:rFonts w:asciiTheme="minorHAnsi" w:hAnsiTheme="minorHAnsi"/>
                <w:sz w:val="20"/>
                <w:szCs w:val="20"/>
              </w:rPr>
            </w:pPr>
          </w:p>
        </w:tc>
        <w:tc>
          <w:tcPr>
            <w:tcW w:w="538" w:type="dxa"/>
          </w:tcPr>
          <w:p w14:paraId="2C8B5E75" w14:textId="77777777" w:rsidR="00ED1B9C" w:rsidRPr="00ED1B9C" w:rsidRDefault="00ED1B9C">
            <w:pPr>
              <w:rPr>
                <w:rFonts w:asciiTheme="minorHAnsi" w:hAnsiTheme="minorHAnsi"/>
                <w:sz w:val="20"/>
                <w:szCs w:val="20"/>
              </w:rPr>
            </w:pPr>
          </w:p>
        </w:tc>
        <w:tc>
          <w:tcPr>
            <w:tcW w:w="2329" w:type="dxa"/>
          </w:tcPr>
          <w:p w14:paraId="79B37C93" w14:textId="77777777" w:rsidR="00ED1B9C" w:rsidRPr="00ED1B9C" w:rsidRDefault="00ED1B9C">
            <w:pPr>
              <w:rPr>
                <w:rFonts w:asciiTheme="minorHAnsi" w:hAnsiTheme="minorHAnsi"/>
                <w:sz w:val="20"/>
                <w:szCs w:val="20"/>
              </w:rPr>
            </w:pPr>
          </w:p>
        </w:tc>
      </w:tr>
      <w:tr w:rsidR="006961DB" w:rsidRPr="00ED1B9C" w14:paraId="17895F36" w14:textId="77777777" w:rsidTr="002F5E2E">
        <w:trPr>
          <w:trHeight w:val="301"/>
        </w:trPr>
        <w:tc>
          <w:tcPr>
            <w:tcW w:w="7759" w:type="dxa"/>
          </w:tcPr>
          <w:p w14:paraId="5B54B122" w14:textId="1660D28B" w:rsidR="006961DB" w:rsidRDefault="006961DB" w:rsidP="006961DB">
            <w:pPr>
              <w:pStyle w:val="ListParagraph"/>
              <w:numPr>
                <w:ilvl w:val="0"/>
                <w:numId w:val="17"/>
              </w:numPr>
              <w:rPr>
                <w:rFonts w:cstheme="minorHAnsi"/>
                <w:sz w:val="22"/>
                <w:szCs w:val="22"/>
              </w:rPr>
            </w:pPr>
            <w:r>
              <w:rPr>
                <w:rFonts w:cstheme="minorHAnsi"/>
                <w:sz w:val="22"/>
                <w:szCs w:val="22"/>
              </w:rPr>
              <w:t>Rental and financial assistance and services will be provided by using a progressive engagement approach. Assistance and services should be tailored to each individual household based on each household’s needs.</w:t>
            </w:r>
          </w:p>
        </w:tc>
        <w:tc>
          <w:tcPr>
            <w:tcW w:w="529" w:type="dxa"/>
          </w:tcPr>
          <w:p w14:paraId="5B1C50CC" w14:textId="77777777" w:rsidR="006961DB" w:rsidRPr="00ED1B9C" w:rsidRDefault="006961DB">
            <w:pPr>
              <w:rPr>
                <w:rFonts w:asciiTheme="minorHAnsi" w:hAnsiTheme="minorHAnsi"/>
                <w:sz w:val="20"/>
                <w:szCs w:val="20"/>
              </w:rPr>
            </w:pPr>
          </w:p>
        </w:tc>
        <w:tc>
          <w:tcPr>
            <w:tcW w:w="538" w:type="dxa"/>
          </w:tcPr>
          <w:p w14:paraId="68548E14" w14:textId="77777777" w:rsidR="006961DB" w:rsidRPr="00ED1B9C" w:rsidRDefault="006961DB">
            <w:pPr>
              <w:rPr>
                <w:rFonts w:asciiTheme="minorHAnsi" w:hAnsiTheme="minorHAnsi"/>
                <w:sz w:val="20"/>
                <w:szCs w:val="20"/>
              </w:rPr>
            </w:pPr>
          </w:p>
        </w:tc>
        <w:tc>
          <w:tcPr>
            <w:tcW w:w="2329" w:type="dxa"/>
          </w:tcPr>
          <w:p w14:paraId="0EDB8BA8" w14:textId="77777777" w:rsidR="006961DB" w:rsidRPr="00ED1B9C" w:rsidRDefault="006961DB">
            <w:pPr>
              <w:rPr>
                <w:rFonts w:asciiTheme="minorHAnsi" w:hAnsiTheme="minorHAnsi"/>
                <w:sz w:val="20"/>
                <w:szCs w:val="20"/>
              </w:rPr>
            </w:pPr>
          </w:p>
        </w:tc>
      </w:tr>
      <w:tr w:rsidR="006961DB" w:rsidRPr="00ED1B9C" w14:paraId="14BA2038" w14:textId="77777777" w:rsidTr="002F5E2E">
        <w:trPr>
          <w:trHeight w:val="301"/>
        </w:trPr>
        <w:tc>
          <w:tcPr>
            <w:tcW w:w="7759" w:type="dxa"/>
          </w:tcPr>
          <w:p w14:paraId="515832C6" w14:textId="26C929BC" w:rsidR="006961DB" w:rsidRDefault="006961DB" w:rsidP="006961DB">
            <w:pPr>
              <w:pStyle w:val="ListParagraph"/>
              <w:numPr>
                <w:ilvl w:val="0"/>
                <w:numId w:val="17"/>
              </w:numPr>
              <w:rPr>
                <w:rFonts w:cstheme="minorHAnsi"/>
                <w:sz w:val="22"/>
                <w:szCs w:val="22"/>
              </w:rPr>
            </w:pPr>
            <w:r>
              <w:rPr>
                <w:rFonts w:cstheme="minorHAnsi"/>
                <w:sz w:val="22"/>
                <w:szCs w:val="22"/>
              </w:rPr>
              <w:t>In order to help households quickly stabilize in housing, projects may pay up to 100% of move-in costs including security deposit, first month rent, and any required utility payments, unless the funding source has a minimum payment requirement. If a household moves into housing between the 1</w:t>
            </w:r>
            <w:r w:rsidRPr="006961DB">
              <w:rPr>
                <w:rFonts w:cstheme="minorHAnsi"/>
                <w:sz w:val="22"/>
                <w:szCs w:val="22"/>
                <w:vertAlign w:val="superscript"/>
              </w:rPr>
              <w:t>st</w:t>
            </w:r>
            <w:r>
              <w:rPr>
                <w:rFonts w:cstheme="minorHAnsi"/>
                <w:sz w:val="22"/>
                <w:szCs w:val="22"/>
              </w:rPr>
              <w:t xml:space="preserve"> and the 15</w:t>
            </w:r>
            <w:r w:rsidRPr="006961DB">
              <w:rPr>
                <w:rFonts w:cstheme="minorHAnsi"/>
                <w:sz w:val="22"/>
                <w:szCs w:val="22"/>
                <w:vertAlign w:val="superscript"/>
              </w:rPr>
              <w:t>th</w:t>
            </w:r>
            <w:r>
              <w:rPr>
                <w:rFonts w:cstheme="minorHAnsi"/>
                <w:sz w:val="22"/>
                <w:szCs w:val="22"/>
              </w:rPr>
              <w:t xml:space="preserve"> of the month, that month will be considered the “first month.” If the household moves into housing between the 16</w:t>
            </w:r>
            <w:r w:rsidRPr="006961DB">
              <w:rPr>
                <w:rFonts w:cstheme="minorHAnsi"/>
                <w:sz w:val="22"/>
                <w:szCs w:val="22"/>
                <w:vertAlign w:val="superscript"/>
              </w:rPr>
              <w:t>th</w:t>
            </w:r>
            <w:r>
              <w:rPr>
                <w:rFonts w:cstheme="minorHAnsi"/>
                <w:sz w:val="22"/>
                <w:szCs w:val="22"/>
              </w:rPr>
              <w:t xml:space="preserve"> and the end of the month, the following month will be considered the “first month.” In this situation, the program will provide 100% of the prorated rent in addition to the first month’s rent. </w:t>
            </w:r>
          </w:p>
        </w:tc>
        <w:tc>
          <w:tcPr>
            <w:tcW w:w="529" w:type="dxa"/>
          </w:tcPr>
          <w:p w14:paraId="3FA0AEF2" w14:textId="77777777" w:rsidR="006961DB" w:rsidRPr="00ED1B9C" w:rsidRDefault="006961DB">
            <w:pPr>
              <w:rPr>
                <w:rFonts w:asciiTheme="minorHAnsi" w:hAnsiTheme="minorHAnsi"/>
                <w:sz w:val="20"/>
                <w:szCs w:val="20"/>
              </w:rPr>
            </w:pPr>
          </w:p>
        </w:tc>
        <w:tc>
          <w:tcPr>
            <w:tcW w:w="538" w:type="dxa"/>
          </w:tcPr>
          <w:p w14:paraId="12644BAA" w14:textId="77777777" w:rsidR="006961DB" w:rsidRPr="00ED1B9C" w:rsidRDefault="006961DB">
            <w:pPr>
              <w:rPr>
                <w:rFonts w:asciiTheme="minorHAnsi" w:hAnsiTheme="minorHAnsi"/>
                <w:sz w:val="20"/>
                <w:szCs w:val="20"/>
              </w:rPr>
            </w:pPr>
          </w:p>
        </w:tc>
        <w:tc>
          <w:tcPr>
            <w:tcW w:w="2329" w:type="dxa"/>
          </w:tcPr>
          <w:p w14:paraId="2CB772C1" w14:textId="77777777" w:rsidR="006961DB" w:rsidRPr="00ED1B9C" w:rsidRDefault="006961DB">
            <w:pPr>
              <w:rPr>
                <w:rFonts w:asciiTheme="minorHAnsi" w:hAnsiTheme="minorHAnsi"/>
                <w:sz w:val="20"/>
                <w:szCs w:val="20"/>
              </w:rPr>
            </w:pPr>
          </w:p>
        </w:tc>
      </w:tr>
      <w:tr w:rsidR="00451CD4" w:rsidRPr="00ED1B9C" w14:paraId="3F42CBDA" w14:textId="77777777" w:rsidTr="002F5E2E">
        <w:trPr>
          <w:trHeight w:val="301"/>
        </w:trPr>
        <w:tc>
          <w:tcPr>
            <w:tcW w:w="7759" w:type="dxa"/>
          </w:tcPr>
          <w:p w14:paraId="2D5E5521" w14:textId="565C6250" w:rsidR="00451CD4" w:rsidRDefault="00451CD4" w:rsidP="006961DB">
            <w:pPr>
              <w:pStyle w:val="ListParagraph"/>
              <w:numPr>
                <w:ilvl w:val="0"/>
                <w:numId w:val="17"/>
              </w:numPr>
              <w:rPr>
                <w:rFonts w:cstheme="minorHAnsi"/>
                <w:sz w:val="22"/>
                <w:szCs w:val="22"/>
              </w:rPr>
            </w:pPr>
            <w:r>
              <w:rPr>
                <w:rFonts w:cstheme="minorHAnsi"/>
                <w:sz w:val="22"/>
                <w:szCs w:val="22"/>
              </w:rPr>
              <w:t xml:space="preserve">Following the first month, projects will work with individual households to progress towards paying full housing expenses (rent and utilities). This may involve a scheduled tiering process where the household pays an increasing </w:t>
            </w:r>
            <w:r>
              <w:rPr>
                <w:rFonts w:cstheme="minorHAnsi"/>
                <w:sz w:val="22"/>
                <w:szCs w:val="22"/>
              </w:rPr>
              <w:lastRenderedPageBreak/>
              <w:t xml:space="preserve">percentage of their income toward rent and the program pays less, a monthly household budget review to determine how much the household can pay or any other method that works for both the participant and the project. </w:t>
            </w:r>
          </w:p>
        </w:tc>
        <w:tc>
          <w:tcPr>
            <w:tcW w:w="529" w:type="dxa"/>
          </w:tcPr>
          <w:p w14:paraId="16F48F4F" w14:textId="77777777" w:rsidR="00451CD4" w:rsidRPr="00ED1B9C" w:rsidRDefault="00451CD4">
            <w:pPr>
              <w:rPr>
                <w:rFonts w:asciiTheme="minorHAnsi" w:hAnsiTheme="minorHAnsi"/>
                <w:sz w:val="20"/>
                <w:szCs w:val="20"/>
              </w:rPr>
            </w:pPr>
          </w:p>
        </w:tc>
        <w:tc>
          <w:tcPr>
            <w:tcW w:w="538" w:type="dxa"/>
          </w:tcPr>
          <w:p w14:paraId="3F2A85A4" w14:textId="77777777" w:rsidR="00451CD4" w:rsidRPr="00ED1B9C" w:rsidRDefault="00451CD4">
            <w:pPr>
              <w:rPr>
                <w:rFonts w:asciiTheme="minorHAnsi" w:hAnsiTheme="minorHAnsi"/>
                <w:sz w:val="20"/>
                <w:szCs w:val="20"/>
              </w:rPr>
            </w:pPr>
          </w:p>
        </w:tc>
        <w:tc>
          <w:tcPr>
            <w:tcW w:w="2329" w:type="dxa"/>
          </w:tcPr>
          <w:p w14:paraId="5D55CA67" w14:textId="77777777" w:rsidR="00451CD4" w:rsidRPr="00ED1B9C" w:rsidRDefault="00451CD4">
            <w:pPr>
              <w:rPr>
                <w:rFonts w:asciiTheme="minorHAnsi" w:hAnsiTheme="minorHAnsi"/>
                <w:sz w:val="20"/>
                <w:szCs w:val="20"/>
              </w:rPr>
            </w:pPr>
          </w:p>
        </w:tc>
      </w:tr>
      <w:tr w:rsidR="00451CD4" w:rsidRPr="00ED1B9C" w14:paraId="429EE376" w14:textId="77777777" w:rsidTr="002F5E2E">
        <w:trPr>
          <w:trHeight w:val="301"/>
        </w:trPr>
        <w:tc>
          <w:tcPr>
            <w:tcW w:w="7759" w:type="dxa"/>
          </w:tcPr>
          <w:p w14:paraId="6CB05327" w14:textId="77777777" w:rsidR="00451CD4" w:rsidRDefault="00451CD4" w:rsidP="006961DB">
            <w:pPr>
              <w:pStyle w:val="ListParagraph"/>
              <w:numPr>
                <w:ilvl w:val="0"/>
                <w:numId w:val="17"/>
              </w:numPr>
              <w:rPr>
                <w:rFonts w:cstheme="minorHAnsi"/>
                <w:sz w:val="22"/>
                <w:szCs w:val="22"/>
              </w:rPr>
            </w:pPr>
            <w:r>
              <w:rPr>
                <w:rFonts w:cstheme="minorHAnsi"/>
                <w:sz w:val="22"/>
                <w:szCs w:val="22"/>
              </w:rPr>
              <w:t xml:space="preserve">Agencies must have policies related to the program’s method of progressive engagement for financial assistance and services. Except for the maximum number of months the program participant receives assistance (24 months) and funding sources specific requirements described in the charts, the CoC does not prescribe maximum amount of assistance or maximum number of times that a program participant may receive assistance. However, agencies may sent program specific limits in addition to those requirements. </w:t>
            </w:r>
          </w:p>
          <w:p w14:paraId="0330285C" w14:textId="77777777" w:rsidR="00451CD4" w:rsidRDefault="00451CD4" w:rsidP="00451CD4">
            <w:pPr>
              <w:pStyle w:val="ListParagraph"/>
            </w:pPr>
          </w:p>
          <w:p w14:paraId="48CFDA41" w14:textId="77777777" w:rsidR="00451CD4" w:rsidRPr="00451CD4" w:rsidRDefault="00451CD4" w:rsidP="00451CD4">
            <w:pPr>
              <w:pStyle w:val="ListParagraph"/>
              <w:rPr>
                <w:sz w:val="22"/>
                <w:szCs w:val="22"/>
              </w:rPr>
            </w:pPr>
            <w:r w:rsidRPr="00451CD4">
              <w:rPr>
                <w:sz w:val="22"/>
                <w:szCs w:val="22"/>
              </w:rPr>
              <w:t xml:space="preserve">Program policies and expectations must be communicated to project participants at program entry and must address the following: </w:t>
            </w:r>
          </w:p>
          <w:p w14:paraId="128DB10E" w14:textId="77777777" w:rsidR="00451CD4" w:rsidRPr="00451CD4" w:rsidRDefault="00451CD4" w:rsidP="00451CD4">
            <w:pPr>
              <w:pStyle w:val="ListParagraph"/>
              <w:rPr>
                <w:sz w:val="22"/>
                <w:szCs w:val="22"/>
              </w:rPr>
            </w:pPr>
          </w:p>
          <w:p w14:paraId="60D69708" w14:textId="77777777" w:rsidR="00451CD4" w:rsidRPr="00451CD4" w:rsidRDefault="00451CD4" w:rsidP="00451CD4">
            <w:pPr>
              <w:pStyle w:val="ListParagraph"/>
              <w:rPr>
                <w:sz w:val="22"/>
                <w:szCs w:val="22"/>
              </w:rPr>
            </w:pPr>
            <w:r w:rsidRPr="00451CD4">
              <w:rPr>
                <w:sz w:val="22"/>
                <w:szCs w:val="22"/>
              </w:rPr>
              <w:t xml:space="preserve">Financial Assistance </w:t>
            </w:r>
          </w:p>
          <w:p w14:paraId="24BB53C9" w14:textId="77777777" w:rsidR="00451CD4" w:rsidRPr="00451CD4" w:rsidRDefault="00451CD4" w:rsidP="00451CD4">
            <w:pPr>
              <w:pStyle w:val="ListParagraph"/>
              <w:rPr>
                <w:sz w:val="22"/>
                <w:szCs w:val="22"/>
              </w:rPr>
            </w:pPr>
            <w:r w:rsidRPr="00451CD4">
              <w:rPr>
                <w:sz w:val="22"/>
                <w:szCs w:val="22"/>
              </w:rPr>
              <w:t xml:space="preserve">● Maximum length of financial assistance </w:t>
            </w:r>
          </w:p>
          <w:p w14:paraId="65DC074E" w14:textId="77777777" w:rsidR="00451CD4" w:rsidRPr="00451CD4" w:rsidRDefault="00451CD4" w:rsidP="00451CD4">
            <w:pPr>
              <w:pStyle w:val="ListParagraph"/>
              <w:rPr>
                <w:sz w:val="22"/>
                <w:szCs w:val="22"/>
              </w:rPr>
            </w:pPr>
            <w:r w:rsidRPr="00451CD4">
              <w:rPr>
                <w:sz w:val="22"/>
                <w:szCs w:val="22"/>
              </w:rPr>
              <w:t xml:space="preserve">● Maximum amount of financial assistance, if any </w:t>
            </w:r>
          </w:p>
          <w:p w14:paraId="3FC17ED7" w14:textId="77777777" w:rsidR="00451CD4" w:rsidRPr="00451CD4" w:rsidRDefault="00451CD4" w:rsidP="00451CD4">
            <w:pPr>
              <w:pStyle w:val="ListParagraph"/>
              <w:rPr>
                <w:sz w:val="22"/>
                <w:szCs w:val="22"/>
              </w:rPr>
            </w:pPr>
            <w:r w:rsidRPr="00451CD4">
              <w:rPr>
                <w:sz w:val="22"/>
                <w:szCs w:val="22"/>
              </w:rPr>
              <w:t xml:space="preserve">● Type of financial assistance to be provided (e.g. security deposit, first month rent, monthly rental assistance, monthly utility assistance) </w:t>
            </w:r>
          </w:p>
          <w:p w14:paraId="17CE5C28" w14:textId="77777777" w:rsidR="00451CD4" w:rsidRPr="00451CD4" w:rsidRDefault="00451CD4" w:rsidP="00451CD4">
            <w:pPr>
              <w:pStyle w:val="ListParagraph"/>
              <w:rPr>
                <w:sz w:val="22"/>
                <w:szCs w:val="22"/>
              </w:rPr>
            </w:pPr>
            <w:r w:rsidRPr="00451CD4">
              <w:rPr>
                <w:sz w:val="22"/>
                <w:szCs w:val="22"/>
              </w:rPr>
              <w:t xml:space="preserve">● (If security deposit was paid by the agency) what happens to security deposit at move out </w:t>
            </w:r>
          </w:p>
          <w:p w14:paraId="664D035D" w14:textId="77777777" w:rsidR="00451CD4" w:rsidRPr="00451CD4" w:rsidRDefault="00451CD4" w:rsidP="00451CD4">
            <w:pPr>
              <w:pStyle w:val="ListParagraph"/>
              <w:rPr>
                <w:sz w:val="22"/>
                <w:szCs w:val="22"/>
              </w:rPr>
            </w:pPr>
            <w:r w:rsidRPr="00451CD4">
              <w:rPr>
                <w:sz w:val="22"/>
                <w:szCs w:val="22"/>
              </w:rPr>
              <w:t xml:space="preserve">● Proposed payment schedule, including participant and agency portions of rent, expected length of financial assistance </w:t>
            </w:r>
          </w:p>
          <w:p w14:paraId="5921E343" w14:textId="77777777" w:rsidR="00451CD4" w:rsidRPr="00451CD4" w:rsidRDefault="00451CD4" w:rsidP="00451CD4">
            <w:pPr>
              <w:pStyle w:val="ListParagraph"/>
              <w:rPr>
                <w:sz w:val="22"/>
                <w:szCs w:val="22"/>
              </w:rPr>
            </w:pPr>
            <w:r w:rsidRPr="00451CD4">
              <w:rPr>
                <w:sz w:val="22"/>
                <w:szCs w:val="22"/>
              </w:rPr>
              <w:t xml:space="preserve">● Method used to adjust the payment schedule if needed </w:t>
            </w:r>
          </w:p>
          <w:p w14:paraId="34D94C1C" w14:textId="77777777" w:rsidR="00451CD4" w:rsidRPr="00451CD4" w:rsidRDefault="00451CD4" w:rsidP="00451CD4">
            <w:pPr>
              <w:pStyle w:val="ListParagraph"/>
              <w:rPr>
                <w:sz w:val="22"/>
                <w:szCs w:val="22"/>
              </w:rPr>
            </w:pPr>
          </w:p>
          <w:p w14:paraId="154CA8F5" w14:textId="77777777" w:rsidR="00451CD4" w:rsidRPr="00451CD4" w:rsidRDefault="00451CD4" w:rsidP="00451CD4">
            <w:pPr>
              <w:pStyle w:val="ListParagraph"/>
              <w:rPr>
                <w:sz w:val="22"/>
                <w:szCs w:val="22"/>
              </w:rPr>
            </w:pPr>
            <w:r w:rsidRPr="00451CD4">
              <w:rPr>
                <w:sz w:val="22"/>
                <w:szCs w:val="22"/>
              </w:rPr>
              <w:t xml:space="preserve">Services </w:t>
            </w:r>
          </w:p>
          <w:p w14:paraId="7D5C8F74" w14:textId="77777777" w:rsidR="00451CD4" w:rsidRPr="00451CD4" w:rsidRDefault="00451CD4" w:rsidP="00451CD4">
            <w:pPr>
              <w:pStyle w:val="ListParagraph"/>
              <w:rPr>
                <w:sz w:val="22"/>
                <w:szCs w:val="22"/>
              </w:rPr>
            </w:pPr>
            <w:r w:rsidRPr="00451CD4">
              <w:rPr>
                <w:sz w:val="22"/>
                <w:szCs w:val="22"/>
              </w:rPr>
              <w:t xml:space="preserve">● Required minimum frequency of case management meetings including housing search and placement and housing stabilization services, if any </w:t>
            </w:r>
          </w:p>
          <w:p w14:paraId="661D0B90" w14:textId="38FA8211" w:rsidR="00451CD4" w:rsidRDefault="00451CD4" w:rsidP="00451CD4">
            <w:pPr>
              <w:pStyle w:val="ListParagraph"/>
              <w:rPr>
                <w:rFonts w:cstheme="minorHAnsi"/>
                <w:sz w:val="22"/>
                <w:szCs w:val="22"/>
              </w:rPr>
            </w:pPr>
            <w:r w:rsidRPr="00451CD4">
              <w:rPr>
                <w:sz w:val="22"/>
                <w:szCs w:val="22"/>
              </w:rPr>
              <w:t>● Maximum length of housing services including program extensions, if applicable</w:t>
            </w:r>
          </w:p>
        </w:tc>
        <w:tc>
          <w:tcPr>
            <w:tcW w:w="529" w:type="dxa"/>
          </w:tcPr>
          <w:p w14:paraId="03516FC7" w14:textId="77777777" w:rsidR="00451CD4" w:rsidRPr="00ED1B9C" w:rsidRDefault="00451CD4">
            <w:pPr>
              <w:rPr>
                <w:rFonts w:asciiTheme="minorHAnsi" w:hAnsiTheme="minorHAnsi"/>
                <w:sz w:val="20"/>
                <w:szCs w:val="20"/>
              </w:rPr>
            </w:pPr>
          </w:p>
        </w:tc>
        <w:tc>
          <w:tcPr>
            <w:tcW w:w="538" w:type="dxa"/>
          </w:tcPr>
          <w:p w14:paraId="6639DE50" w14:textId="77777777" w:rsidR="00451CD4" w:rsidRPr="00ED1B9C" w:rsidRDefault="00451CD4">
            <w:pPr>
              <w:rPr>
                <w:rFonts w:asciiTheme="minorHAnsi" w:hAnsiTheme="minorHAnsi"/>
                <w:sz w:val="20"/>
                <w:szCs w:val="20"/>
              </w:rPr>
            </w:pPr>
          </w:p>
        </w:tc>
        <w:tc>
          <w:tcPr>
            <w:tcW w:w="2329" w:type="dxa"/>
          </w:tcPr>
          <w:p w14:paraId="551285AB" w14:textId="77777777" w:rsidR="00451CD4" w:rsidRPr="00ED1B9C" w:rsidRDefault="00451CD4">
            <w:pPr>
              <w:rPr>
                <w:rFonts w:asciiTheme="minorHAnsi" w:hAnsiTheme="minorHAnsi"/>
                <w:sz w:val="20"/>
                <w:szCs w:val="20"/>
              </w:rPr>
            </w:pPr>
          </w:p>
        </w:tc>
      </w:tr>
      <w:tr w:rsidR="00C90274" w:rsidRPr="00ED1B9C" w14:paraId="671B2278" w14:textId="77777777" w:rsidTr="00730C07">
        <w:trPr>
          <w:trHeight w:val="301"/>
        </w:trPr>
        <w:tc>
          <w:tcPr>
            <w:tcW w:w="7759" w:type="dxa"/>
            <w:shd w:val="clear" w:color="auto" w:fill="DDD9C3" w:themeFill="background2" w:themeFillShade="E6"/>
          </w:tcPr>
          <w:p w14:paraId="4727921F" w14:textId="77777777" w:rsidR="00C90274" w:rsidRPr="00C90274" w:rsidRDefault="00C90274" w:rsidP="00C90274">
            <w:pPr>
              <w:rPr>
                <w:rFonts w:asciiTheme="minorHAnsi" w:hAnsiTheme="minorHAnsi" w:cstheme="minorHAnsi"/>
                <w:b/>
                <w:sz w:val="22"/>
                <w:szCs w:val="22"/>
              </w:rPr>
            </w:pPr>
            <w:r w:rsidRPr="00C90274">
              <w:rPr>
                <w:rFonts w:asciiTheme="minorHAnsi" w:hAnsiTheme="minorHAnsi" w:cstheme="minorHAnsi"/>
                <w:b/>
                <w:sz w:val="22"/>
                <w:szCs w:val="22"/>
              </w:rPr>
              <w:t>Coordinated Entry Sections pertaining to Rapid Rehousing</w:t>
            </w:r>
          </w:p>
        </w:tc>
        <w:tc>
          <w:tcPr>
            <w:tcW w:w="529" w:type="dxa"/>
            <w:shd w:val="clear" w:color="auto" w:fill="DDD9C3" w:themeFill="background2" w:themeFillShade="E6"/>
          </w:tcPr>
          <w:p w14:paraId="541D9863" w14:textId="77777777" w:rsidR="00C90274" w:rsidRDefault="00C90274" w:rsidP="00066F02"/>
        </w:tc>
        <w:tc>
          <w:tcPr>
            <w:tcW w:w="538" w:type="dxa"/>
            <w:shd w:val="clear" w:color="auto" w:fill="DDD9C3" w:themeFill="background2" w:themeFillShade="E6"/>
          </w:tcPr>
          <w:p w14:paraId="0E6BE1BD" w14:textId="77777777" w:rsidR="00C90274" w:rsidRDefault="00C90274" w:rsidP="00066F02"/>
        </w:tc>
        <w:tc>
          <w:tcPr>
            <w:tcW w:w="2329" w:type="dxa"/>
            <w:shd w:val="clear" w:color="auto" w:fill="DDD9C3" w:themeFill="background2" w:themeFillShade="E6"/>
          </w:tcPr>
          <w:p w14:paraId="5BBFC5FB" w14:textId="77777777" w:rsidR="00C90274" w:rsidRDefault="00C90274" w:rsidP="00066F02"/>
        </w:tc>
      </w:tr>
      <w:tr w:rsidR="00C90274" w:rsidRPr="00ED1B9C" w14:paraId="7A5D0C88" w14:textId="77777777" w:rsidTr="002F5E2E">
        <w:trPr>
          <w:trHeight w:val="301"/>
        </w:trPr>
        <w:tc>
          <w:tcPr>
            <w:tcW w:w="7759" w:type="dxa"/>
          </w:tcPr>
          <w:p w14:paraId="17065234" w14:textId="3451854F" w:rsidR="00C90274" w:rsidRPr="002A5335" w:rsidRDefault="00C90274" w:rsidP="002A5335">
            <w:pPr>
              <w:pStyle w:val="ListParagraph"/>
              <w:numPr>
                <w:ilvl w:val="0"/>
                <w:numId w:val="15"/>
              </w:numPr>
              <w:rPr>
                <w:rFonts w:cstheme="minorHAnsi"/>
                <w:sz w:val="22"/>
                <w:szCs w:val="22"/>
              </w:rPr>
            </w:pPr>
            <w:r w:rsidRPr="002A5335">
              <w:rPr>
                <w:rFonts w:cstheme="minorHAnsi"/>
                <w:sz w:val="22"/>
                <w:szCs w:val="22"/>
              </w:rPr>
              <w:t>Housing providers contact CE staff with vacancies or transfer requests</w:t>
            </w:r>
            <w:r w:rsidR="00857F38">
              <w:rPr>
                <w:rFonts w:cstheme="minorHAnsi"/>
                <w:sz w:val="22"/>
                <w:szCs w:val="22"/>
              </w:rPr>
              <w:t>.</w:t>
            </w:r>
          </w:p>
        </w:tc>
        <w:tc>
          <w:tcPr>
            <w:tcW w:w="529" w:type="dxa"/>
          </w:tcPr>
          <w:p w14:paraId="688C4AFD" w14:textId="77777777" w:rsidR="00C90274" w:rsidRDefault="00C90274" w:rsidP="00066F02"/>
        </w:tc>
        <w:tc>
          <w:tcPr>
            <w:tcW w:w="538" w:type="dxa"/>
          </w:tcPr>
          <w:p w14:paraId="6925AB4B" w14:textId="77777777" w:rsidR="00C90274" w:rsidRDefault="00C90274" w:rsidP="00066F02"/>
        </w:tc>
        <w:tc>
          <w:tcPr>
            <w:tcW w:w="2329" w:type="dxa"/>
          </w:tcPr>
          <w:p w14:paraId="65293EDA" w14:textId="77777777" w:rsidR="00C90274" w:rsidRDefault="00C90274" w:rsidP="00066F02"/>
        </w:tc>
      </w:tr>
      <w:tr w:rsidR="00964A84" w:rsidRPr="00ED1B9C" w14:paraId="08F53813" w14:textId="77777777" w:rsidTr="002F5E2E">
        <w:trPr>
          <w:trHeight w:val="301"/>
        </w:trPr>
        <w:tc>
          <w:tcPr>
            <w:tcW w:w="7759" w:type="dxa"/>
          </w:tcPr>
          <w:p w14:paraId="6294BE1B" w14:textId="43F65905" w:rsidR="00964A84" w:rsidRPr="002A5335" w:rsidRDefault="00964A84" w:rsidP="002A5335">
            <w:pPr>
              <w:pStyle w:val="ListParagraph"/>
              <w:numPr>
                <w:ilvl w:val="0"/>
                <w:numId w:val="15"/>
              </w:numPr>
              <w:rPr>
                <w:rFonts w:cstheme="minorHAnsi"/>
                <w:sz w:val="22"/>
                <w:szCs w:val="22"/>
              </w:rPr>
            </w:pPr>
            <w:r>
              <w:rPr>
                <w:rFonts w:cstheme="minorHAnsi"/>
                <w:sz w:val="22"/>
                <w:szCs w:val="22"/>
              </w:rPr>
              <w:t>Households shall not be steered toward any particular housing facility or neighborhood based on a protected class.</w:t>
            </w:r>
          </w:p>
        </w:tc>
        <w:tc>
          <w:tcPr>
            <w:tcW w:w="529" w:type="dxa"/>
          </w:tcPr>
          <w:p w14:paraId="7F4DF965" w14:textId="77777777" w:rsidR="00964A84" w:rsidRDefault="00964A84" w:rsidP="00066F02"/>
        </w:tc>
        <w:tc>
          <w:tcPr>
            <w:tcW w:w="538" w:type="dxa"/>
          </w:tcPr>
          <w:p w14:paraId="6D658948" w14:textId="77777777" w:rsidR="00964A84" w:rsidRDefault="00964A84" w:rsidP="00066F02"/>
        </w:tc>
        <w:tc>
          <w:tcPr>
            <w:tcW w:w="2329" w:type="dxa"/>
          </w:tcPr>
          <w:p w14:paraId="6B507714" w14:textId="77777777" w:rsidR="00964A84" w:rsidRDefault="00964A84" w:rsidP="00066F02"/>
        </w:tc>
      </w:tr>
      <w:tr w:rsidR="002A5335" w:rsidRPr="00ED1B9C" w14:paraId="714DA2DE" w14:textId="77777777" w:rsidTr="002F5E2E">
        <w:trPr>
          <w:trHeight w:val="301"/>
        </w:trPr>
        <w:tc>
          <w:tcPr>
            <w:tcW w:w="7759" w:type="dxa"/>
          </w:tcPr>
          <w:p w14:paraId="5EB6A75A" w14:textId="77777777" w:rsidR="002A5335" w:rsidRPr="002A5335" w:rsidRDefault="002A5335" w:rsidP="002A5335">
            <w:pPr>
              <w:pStyle w:val="ListParagraph"/>
              <w:numPr>
                <w:ilvl w:val="0"/>
                <w:numId w:val="15"/>
              </w:numPr>
              <w:rPr>
                <w:rFonts w:cstheme="minorHAnsi"/>
                <w:sz w:val="22"/>
                <w:szCs w:val="22"/>
              </w:rPr>
            </w:pPr>
            <w:r w:rsidRPr="002A5335">
              <w:rPr>
                <w:rFonts w:cstheme="minorHAnsi"/>
                <w:sz w:val="22"/>
                <w:szCs w:val="22"/>
              </w:rPr>
              <w:t>Housing providers may not reject a household for assistance based on perceived barriers to housing or services.</w:t>
            </w:r>
          </w:p>
        </w:tc>
        <w:tc>
          <w:tcPr>
            <w:tcW w:w="529" w:type="dxa"/>
          </w:tcPr>
          <w:p w14:paraId="203F21E8" w14:textId="77777777" w:rsidR="002A5335" w:rsidRDefault="002A5335" w:rsidP="00066F02"/>
        </w:tc>
        <w:tc>
          <w:tcPr>
            <w:tcW w:w="538" w:type="dxa"/>
          </w:tcPr>
          <w:p w14:paraId="31047E93" w14:textId="77777777" w:rsidR="002A5335" w:rsidRDefault="002A5335" w:rsidP="00066F02"/>
        </w:tc>
        <w:tc>
          <w:tcPr>
            <w:tcW w:w="2329" w:type="dxa"/>
          </w:tcPr>
          <w:p w14:paraId="14789736" w14:textId="77777777" w:rsidR="002A5335" w:rsidRDefault="002A5335" w:rsidP="00066F02"/>
        </w:tc>
      </w:tr>
      <w:tr w:rsidR="002A5335" w:rsidRPr="00ED1B9C" w14:paraId="1EAD2C31" w14:textId="77777777" w:rsidTr="002F5E2E">
        <w:trPr>
          <w:trHeight w:val="301"/>
        </w:trPr>
        <w:tc>
          <w:tcPr>
            <w:tcW w:w="7759" w:type="dxa"/>
          </w:tcPr>
          <w:p w14:paraId="4A6E1DF4" w14:textId="77777777" w:rsidR="002A5335" w:rsidRPr="002A5335" w:rsidRDefault="002A5335" w:rsidP="002A5335">
            <w:pPr>
              <w:pStyle w:val="ListParagraph"/>
              <w:numPr>
                <w:ilvl w:val="0"/>
                <w:numId w:val="15"/>
              </w:numPr>
              <w:rPr>
                <w:rFonts w:cstheme="minorHAnsi"/>
                <w:sz w:val="22"/>
                <w:szCs w:val="22"/>
              </w:rPr>
            </w:pPr>
            <w:r w:rsidRPr="002A5335">
              <w:rPr>
                <w:rFonts w:cstheme="minorHAnsi"/>
                <w:sz w:val="22"/>
                <w:szCs w:val="22"/>
              </w:rPr>
              <w:lastRenderedPageBreak/>
              <w:t>CoC, EHH and ESG funded programs must use the Coordinated Entry process as the only referral source from which they fill vacancies in housing or services.</w:t>
            </w:r>
          </w:p>
        </w:tc>
        <w:tc>
          <w:tcPr>
            <w:tcW w:w="529" w:type="dxa"/>
          </w:tcPr>
          <w:p w14:paraId="7D7FE47E" w14:textId="77777777" w:rsidR="002A5335" w:rsidRDefault="002A5335" w:rsidP="00066F02"/>
        </w:tc>
        <w:tc>
          <w:tcPr>
            <w:tcW w:w="538" w:type="dxa"/>
          </w:tcPr>
          <w:p w14:paraId="2E6DA139" w14:textId="77777777" w:rsidR="002A5335" w:rsidRDefault="002A5335" w:rsidP="00066F02"/>
        </w:tc>
        <w:tc>
          <w:tcPr>
            <w:tcW w:w="2329" w:type="dxa"/>
          </w:tcPr>
          <w:p w14:paraId="3ECECD77" w14:textId="77777777" w:rsidR="002A5335" w:rsidRDefault="002A5335" w:rsidP="00066F02"/>
        </w:tc>
      </w:tr>
      <w:tr w:rsidR="002A5335" w:rsidRPr="00ED1B9C" w14:paraId="193DF085" w14:textId="77777777" w:rsidTr="002F5E2E">
        <w:trPr>
          <w:trHeight w:val="301"/>
        </w:trPr>
        <w:tc>
          <w:tcPr>
            <w:tcW w:w="7759" w:type="dxa"/>
          </w:tcPr>
          <w:p w14:paraId="7E9F88AF" w14:textId="432792D9" w:rsidR="002A5335" w:rsidRPr="00964A84" w:rsidRDefault="002A5335" w:rsidP="00964A84">
            <w:pPr>
              <w:pStyle w:val="ListParagraph"/>
              <w:numPr>
                <w:ilvl w:val="0"/>
                <w:numId w:val="15"/>
              </w:numPr>
              <w:rPr>
                <w:rFonts w:cstheme="minorHAnsi"/>
                <w:sz w:val="22"/>
                <w:szCs w:val="22"/>
              </w:rPr>
            </w:pPr>
            <w:r w:rsidRPr="002A5335">
              <w:rPr>
                <w:rFonts w:cstheme="minorHAnsi"/>
                <w:sz w:val="22"/>
                <w:szCs w:val="22"/>
              </w:rPr>
              <w:t>When an agency receives a name from the priority list, staff must initiate contact with the person within two business days.</w:t>
            </w:r>
          </w:p>
        </w:tc>
        <w:tc>
          <w:tcPr>
            <w:tcW w:w="529" w:type="dxa"/>
          </w:tcPr>
          <w:p w14:paraId="494BA586" w14:textId="77777777" w:rsidR="002A5335" w:rsidRDefault="002A5335" w:rsidP="00066F02"/>
        </w:tc>
        <w:tc>
          <w:tcPr>
            <w:tcW w:w="538" w:type="dxa"/>
          </w:tcPr>
          <w:p w14:paraId="7619DA92" w14:textId="77777777" w:rsidR="002A5335" w:rsidRDefault="002A5335" w:rsidP="00066F02"/>
        </w:tc>
        <w:tc>
          <w:tcPr>
            <w:tcW w:w="2329" w:type="dxa"/>
          </w:tcPr>
          <w:p w14:paraId="58E30B86" w14:textId="77777777" w:rsidR="002A5335" w:rsidRDefault="002A5335" w:rsidP="00066F02"/>
        </w:tc>
      </w:tr>
    </w:tbl>
    <w:p w14:paraId="7840D3D0" w14:textId="77777777" w:rsidR="00ED1B9C" w:rsidRDefault="00ED1B9C" w:rsidP="002F5E2E">
      <w:pPr>
        <w:rPr>
          <w:rFonts w:asciiTheme="minorHAnsi" w:hAnsiTheme="minorHAnsi"/>
          <w:sz w:val="20"/>
          <w:szCs w:val="20"/>
        </w:rPr>
      </w:pPr>
    </w:p>
    <w:p w14:paraId="6A0AC6ED" w14:textId="77777777" w:rsidR="00066F02" w:rsidRDefault="00066F02" w:rsidP="00FB4ECF">
      <w:pPr>
        <w:rPr>
          <w:rFonts w:asciiTheme="minorHAnsi" w:hAnsiTheme="minorHAnsi"/>
          <w:sz w:val="20"/>
          <w:szCs w:val="20"/>
        </w:rPr>
      </w:pPr>
    </w:p>
    <w:p w14:paraId="3A7E4F62" w14:textId="77777777" w:rsidR="00066F02" w:rsidRDefault="00066F02" w:rsidP="00FB4ECF">
      <w:pPr>
        <w:rPr>
          <w:rFonts w:asciiTheme="minorHAnsi" w:hAnsiTheme="minorHAnsi"/>
          <w:sz w:val="20"/>
          <w:szCs w:val="20"/>
        </w:rPr>
      </w:pPr>
    </w:p>
    <w:p w14:paraId="1AB841EA" w14:textId="77777777" w:rsidR="00066F02" w:rsidRDefault="00066F02" w:rsidP="00FB4ECF">
      <w:pPr>
        <w:rPr>
          <w:rFonts w:asciiTheme="minorHAnsi" w:hAnsiTheme="minorHAnsi"/>
          <w:sz w:val="20"/>
          <w:szCs w:val="20"/>
        </w:rPr>
      </w:pPr>
    </w:p>
    <w:p w14:paraId="29C56349" w14:textId="77777777" w:rsidR="00066F02" w:rsidRDefault="00066F02" w:rsidP="00FB4ECF">
      <w:pPr>
        <w:rPr>
          <w:rFonts w:asciiTheme="minorHAnsi" w:hAnsiTheme="minorHAnsi"/>
          <w:sz w:val="20"/>
          <w:szCs w:val="20"/>
        </w:rPr>
      </w:pPr>
    </w:p>
    <w:p w14:paraId="147EA09E" w14:textId="77777777" w:rsidR="00066F02" w:rsidRDefault="00066F02" w:rsidP="00FB4ECF">
      <w:pPr>
        <w:rPr>
          <w:rFonts w:asciiTheme="minorHAnsi" w:hAnsiTheme="minorHAnsi"/>
          <w:sz w:val="20"/>
          <w:szCs w:val="20"/>
        </w:rPr>
      </w:pPr>
    </w:p>
    <w:p w14:paraId="58E4909C" w14:textId="77777777" w:rsidR="00FB4ECF" w:rsidRDefault="00FB4ECF" w:rsidP="00FB4ECF">
      <w:pPr>
        <w:rPr>
          <w:rFonts w:asciiTheme="minorHAnsi" w:hAnsiTheme="minorHAnsi"/>
          <w:sz w:val="20"/>
          <w:szCs w:val="20"/>
        </w:rPr>
      </w:pPr>
      <w:r>
        <w:rPr>
          <w:rFonts w:asciiTheme="minorHAnsi" w:hAnsiTheme="minorHAnsi"/>
          <w:sz w:val="20"/>
          <w:szCs w:val="20"/>
        </w:rPr>
        <w:t xml:space="preserve">Suggested Updates: </w:t>
      </w:r>
    </w:p>
    <w:p w14:paraId="538C87E3" w14:textId="77777777" w:rsidR="00FB4ECF" w:rsidRDefault="00FB4ECF" w:rsidP="00FB4ECF">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5F9CA" w14:textId="77777777" w:rsidR="00FB4ECF" w:rsidRPr="00B30318" w:rsidRDefault="00FB4ECF" w:rsidP="002F5E2E">
      <w:pPr>
        <w:rPr>
          <w:rFonts w:asciiTheme="minorHAnsi" w:hAnsiTheme="minorHAnsi"/>
          <w:sz w:val="20"/>
          <w:szCs w:val="20"/>
        </w:rPr>
      </w:pPr>
    </w:p>
    <w:sectPr w:rsidR="00FB4ECF" w:rsidRPr="00B30318" w:rsidSect="002F5E2E">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152FF" w14:textId="77777777" w:rsidR="002F5E2E" w:rsidRDefault="002F5E2E" w:rsidP="002F5E2E">
      <w:r>
        <w:separator/>
      </w:r>
    </w:p>
  </w:endnote>
  <w:endnote w:type="continuationSeparator" w:id="0">
    <w:p w14:paraId="625C9DC8"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147731EC" w14:textId="77777777" w:rsidR="002F5E2E" w:rsidRDefault="002F5E2E">
        <w:pPr>
          <w:pStyle w:val="Footer"/>
          <w:jc w:val="center"/>
        </w:pPr>
        <w:r>
          <w:fldChar w:fldCharType="begin"/>
        </w:r>
        <w:r>
          <w:instrText xml:space="preserve"> PAGE   \* MERGEFORMAT </w:instrText>
        </w:r>
        <w:r>
          <w:fldChar w:fldCharType="separate"/>
        </w:r>
        <w:r w:rsidR="008D0C45">
          <w:rPr>
            <w:noProof/>
          </w:rPr>
          <w:t>3</w:t>
        </w:r>
        <w:r>
          <w:rPr>
            <w:noProof/>
          </w:rPr>
          <w:fldChar w:fldCharType="end"/>
        </w:r>
      </w:p>
    </w:sdtContent>
  </w:sdt>
  <w:p w14:paraId="071B0F69" w14:textId="10F3CDF9" w:rsidR="00451CD4" w:rsidRDefault="00964A84" w:rsidP="00451CD4">
    <w:pPr>
      <w:pStyle w:val="Footer"/>
      <w:jc w:val="right"/>
    </w:pPr>
    <w:r>
      <w:t>4/4/25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C5110" w14:textId="77777777" w:rsidR="002F5E2E" w:rsidRDefault="002F5E2E" w:rsidP="002F5E2E">
      <w:r>
        <w:separator/>
      </w:r>
    </w:p>
  </w:footnote>
  <w:footnote w:type="continuationSeparator" w:id="0">
    <w:p w14:paraId="6E3F3E8E" w14:textId="77777777"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C642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E011DA"/>
    <w:multiLevelType w:val="hybridMultilevel"/>
    <w:tmpl w:val="3DB8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B00CC"/>
    <w:multiLevelType w:val="hybridMultilevel"/>
    <w:tmpl w:val="B8948102"/>
    <w:lvl w:ilvl="0" w:tplc="D7BA755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D3FE9"/>
    <w:multiLevelType w:val="hybridMultilevel"/>
    <w:tmpl w:val="8CCE4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AF14F1"/>
    <w:multiLevelType w:val="hybridMultilevel"/>
    <w:tmpl w:val="5AB42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AC1762"/>
    <w:multiLevelType w:val="hybridMultilevel"/>
    <w:tmpl w:val="6D66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F4D2C"/>
    <w:multiLevelType w:val="hybridMultilevel"/>
    <w:tmpl w:val="3EC0CE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3D81"/>
    <w:multiLevelType w:val="hybridMultilevel"/>
    <w:tmpl w:val="393AC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BB5883"/>
    <w:multiLevelType w:val="hybridMultilevel"/>
    <w:tmpl w:val="C130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372860">
    <w:abstractNumId w:val="2"/>
  </w:num>
  <w:num w:numId="2" w16cid:durableId="1534804386">
    <w:abstractNumId w:val="8"/>
  </w:num>
  <w:num w:numId="3" w16cid:durableId="513501812">
    <w:abstractNumId w:val="1"/>
  </w:num>
  <w:num w:numId="4" w16cid:durableId="1105733584">
    <w:abstractNumId w:val="6"/>
  </w:num>
  <w:num w:numId="5" w16cid:durableId="682320141">
    <w:abstractNumId w:val="0"/>
  </w:num>
  <w:num w:numId="6" w16cid:durableId="859971746">
    <w:abstractNumId w:val="11"/>
  </w:num>
  <w:num w:numId="7" w16cid:durableId="2022005250">
    <w:abstractNumId w:val="7"/>
  </w:num>
  <w:num w:numId="8" w16cid:durableId="1858033569">
    <w:abstractNumId w:val="16"/>
  </w:num>
  <w:num w:numId="9" w16cid:durableId="834685611">
    <w:abstractNumId w:val="3"/>
  </w:num>
  <w:num w:numId="10" w16cid:durableId="548760868">
    <w:abstractNumId w:val="13"/>
  </w:num>
  <w:num w:numId="11" w16cid:durableId="1874423523">
    <w:abstractNumId w:val="5"/>
  </w:num>
  <w:num w:numId="12" w16cid:durableId="193034981">
    <w:abstractNumId w:val="15"/>
  </w:num>
  <w:num w:numId="13" w16cid:durableId="467288539">
    <w:abstractNumId w:val="14"/>
  </w:num>
  <w:num w:numId="14" w16cid:durableId="539978913">
    <w:abstractNumId w:val="9"/>
  </w:num>
  <w:num w:numId="15" w16cid:durableId="1944998589">
    <w:abstractNumId w:val="4"/>
  </w:num>
  <w:num w:numId="16" w16cid:durableId="914631000">
    <w:abstractNumId w:val="12"/>
  </w:num>
  <w:num w:numId="17" w16cid:durableId="171839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66F02"/>
    <w:rsid w:val="00074A55"/>
    <w:rsid w:val="001D58CC"/>
    <w:rsid w:val="002A5335"/>
    <w:rsid w:val="002F5E2E"/>
    <w:rsid w:val="004214C4"/>
    <w:rsid w:val="00451CD4"/>
    <w:rsid w:val="004B135B"/>
    <w:rsid w:val="004F7B4B"/>
    <w:rsid w:val="00502FE3"/>
    <w:rsid w:val="00583A59"/>
    <w:rsid w:val="005D62EE"/>
    <w:rsid w:val="006151B0"/>
    <w:rsid w:val="006961DB"/>
    <w:rsid w:val="007174C5"/>
    <w:rsid w:val="00725ED6"/>
    <w:rsid w:val="007270FE"/>
    <w:rsid w:val="00730C07"/>
    <w:rsid w:val="00780B5D"/>
    <w:rsid w:val="00800DBC"/>
    <w:rsid w:val="008011DC"/>
    <w:rsid w:val="00857F38"/>
    <w:rsid w:val="008B3582"/>
    <w:rsid w:val="008D0C45"/>
    <w:rsid w:val="00915DEF"/>
    <w:rsid w:val="0094340B"/>
    <w:rsid w:val="00964A84"/>
    <w:rsid w:val="009D1475"/>
    <w:rsid w:val="00B02DB0"/>
    <w:rsid w:val="00B30318"/>
    <w:rsid w:val="00B728B0"/>
    <w:rsid w:val="00BC7B4B"/>
    <w:rsid w:val="00C3785C"/>
    <w:rsid w:val="00C90274"/>
    <w:rsid w:val="00CA0D7B"/>
    <w:rsid w:val="00D10A6F"/>
    <w:rsid w:val="00E01447"/>
    <w:rsid w:val="00E06C3A"/>
    <w:rsid w:val="00E41438"/>
    <w:rsid w:val="00E43D95"/>
    <w:rsid w:val="00E502B6"/>
    <w:rsid w:val="00EA1793"/>
    <w:rsid w:val="00ED1B9C"/>
    <w:rsid w:val="00EF4050"/>
    <w:rsid w:val="00F255CB"/>
    <w:rsid w:val="00FB4E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82FC"/>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709</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Lim, Sarah</cp:lastModifiedBy>
  <cp:revision>16</cp:revision>
  <dcterms:created xsi:type="dcterms:W3CDTF">2018-11-01T16:27:00Z</dcterms:created>
  <dcterms:modified xsi:type="dcterms:W3CDTF">2025-05-08T21:39:00Z</dcterms:modified>
</cp:coreProperties>
</file>