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7E8EC" w14:textId="77777777" w:rsidR="00074A55" w:rsidRDefault="00ED1B9C" w:rsidP="00ED1B9C">
      <w:pPr>
        <w:jc w:val="center"/>
        <w:rPr>
          <w:rFonts w:asciiTheme="minorHAnsi" w:hAnsiTheme="minorHAnsi"/>
          <w:b/>
          <w:sz w:val="32"/>
          <w:szCs w:val="32"/>
        </w:rPr>
      </w:pPr>
      <w:r>
        <w:rPr>
          <w:rFonts w:asciiTheme="minorHAnsi" w:hAnsiTheme="minorHAnsi"/>
          <w:b/>
          <w:sz w:val="32"/>
          <w:szCs w:val="32"/>
        </w:rPr>
        <w:t xml:space="preserve">Dane CoC </w:t>
      </w:r>
      <w:r w:rsidRPr="00ED1B9C">
        <w:rPr>
          <w:rFonts w:asciiTheme="minorHAnsi" w:hAnsiTheme="minorHAnsi"/>
          <w:b/>
          <w:sz w:val="32"/>
          <w:szCs w:val="32"/>
        </w:rPr>
        <w:t xml:space="preserve">Written Standards Checklist- </w:t>
      </w:r>
      <w:r w:rsidR="00EE438F">
        <w:rPr>
          <w:rFonts w:asciiTheme="minorHAnsi" w:hAnsiTheme="minorHAnsi"/>
          <w:b/>
          <w:sz w:val="32"/>
          <w:szCs w:val="32"/>
        </w:rPr>
        <w:t>Street Outreach</w:t>
      </w:r>
    </w:p>
    <w:p w14:paraId="687F6785" w14:textId="77777777" w:rsidR="001F3BD5" w:rsidRDefault="001F3BD5" w:rsidP="00ED1B9C">
      <w:pPr>
        <w:jc w:val="center"/>
        <w:rPr>
          <w:rFonts w:asciiTheme="minorHAnsi" w:hAnsiTheme="minorHAnsi"/>
          <w:b/>
          <w:sz w:val="32"/>
          <w:szCs w:val="32"/>
        </w:rPr>
      </w:pPr>
    </w:p>
    <w:p w14:paraId="7AB35372" w14:textId="77777777" w:rsidR="001F3BD5" w:rsidRPr="00ED1B9C" w:rsidRDefault="001F3BD5" w:rsidP="001F3BD5">
      <w:pPr>
        <w:jc w:val="center"/>
        <w:rPr>
          <w:rFonts w:asciiTheme="minorHAnsi" w:hAnsiTheme="minorHAnsi"/>
          <w:b/>
          <w:sz w:val="32"/>
          <w:szCs w:val="32"/>
        </w:rPr>
      </w:pPr>
      <w:proofErr w:type="gramStart"/>
      <w:r>
        <w:rPr>
          <w:rFonts w:asciiTheme="minorHAnsi" w:hAnsiTheme="minorHAnsi"/>
          <w:b/>
          <w:sz w:val="32"/>
          <w:szCs w:val="32"/>
        </w:rPr>
        <w:t>Agency:_</w:t>
      </w:r>
      <w:proofErr w:type="gramEnd"/>
      <w:r>
        <w:rPr>
          <w:rFonts w:asciiTheme="minorHAnsi" w:hAnsiTheme="minorHAnsi"/>
          <w:b/>
          <w:sz w:val="32"/>
          <w:szCs w:val="32"/>
        </w:rPr>
        <w:t>____________________   Program(s):___________________________</w:t>
      </w:r>
    </w:p>
    <w:p w14:paraId="4C953F77" w14:textId="77777777" w:rsidR="00ED1B9C" w:rsidRPr="00ED1B9C" w:rsidRDefault="00ED1B9C" w:rsidP="00ED1B9C">
      <w:pPr>
        <w:jc w:val="center"/>
        <w:rPr>
          <w:rFonts w:asciiTheme="minorHAnsi" w:hAnsiTheme="minorHAnsi"/>
          <w:b/>
          <w:sz w:val="32"/>
          <w:szCs w:val="32"/>
        </w:rPr>
      </w:pPr>
    </w:p>
    <w:tbl>
      <w:tblPr>
        <w:tblStyle w:val="TableGrid"/>
        <w:tblW w:w="11155" w:type="dxa"/>
        <w:tblLook w:val="04A0" w:firstRow="1" w:lastRow="0" w:firstColumn="1" w:lastColumn="0" w:noHBand="0" w:noVBand="1"/>
      </w:tblPr>
      <w:tblGrid>
        <w:gridCol w:w="7759"/>
        <w:gridCol w:w="529"/>
        <w:gridCol w:w="538"/>
        <w:gridCol w:w="2329"/>
      </w:tblGrid>
      <w:tr w:rsidR="00ED1B9C" w:rsidRPr="00ED1B9C" w14:paraId="733BE117" w14:textId="77777777" w:rsidTr="002F5E2E">
        <w:trPr>
          <w:trHeight w:val="301"/>
        </w:trPr>
        <w:tc>
          <w:tcPr>
            <w:tcW w:w="7759" w:type="dxa"/>
            <w:shd w:val="clear" w:color="auto" w:fill="D9D9D9" w:themeFill="background1" w:themeFillShade="D9"/>
          </w:tcPr>
          <w:p w14:paraId="14B0863C" w14:textId="77777777" w:rsidR="00ED1B9C" w:rsidRPr="00E41438" w:rsidRDefault="00ED1B9C">
            <w:pPr>
              <w:rPr>
                <w:rFonts w:asciiTheme="minorHAnsi" w:hAnsiTheme="minorHAnsi"/>
                <w:b/>
                <w:sz w:val="22"/>
                <w:szCs w:val="22"/>
              </w:rPr>
            </w:pPr>
            <w:r w:rsidRPr="00E41438">
              <w:rPr>
                <w:rFonts w:asciiTheme="minorHAnsi" w:hAnsiTheme="minorHAnsi"/>
                <w:b/>
                <w:sz w:val="22"/>
                <w:szCs w:val="22"/>
              </w:rPr>
              <w:t>Standards</w:t>
            </w:r>
          </w:p>
        </w:tc>
        <w:tc>
          <w:tcPr>
            <w:tcW w:w="529" w:type="dxa"/>
            <w:shd w:val="clear" w:color="auto" w:fill="D9D9D9" w:themeFill="background1" w:themeFillShade="D9"/>
          </w:tcPr>
          <w:p w14:paraId="531A62A5" w14:textId="77777777" w:rsidR="00ED1B9C" w:rsidRPr="00E41438" w:rsidRDefault="00ED1B9C">
            <w:pPr>
              <w:rPr>
                <w:rFonts w:asciiTheme="minorHAnsi" w:hAnsiTheme="minorHAnsi"/>
                <w:b/>
                <w:sz w:val="22"/>
                <w:szCs w:val="22"/>
              </w:rPr>
            </w:pPr>
            <w:r w:rsidRPr="00E41438">
              <w:rPr>
                <w:rFonts w:asciiTheme="minorHAnsi" w:hAnsiTheme="minorHAnsi"/>
                <w:b/>
                <w:sz w:val="22"/>
                <w:szCs w:val="22"/>
              </w:rPr>
              <w:t>Yes</w:t>
            </w:r>
          </w:p>
        </w:tc>
        <w:tc>
          <w:tcPr>
            <w:tcW w:w="538" w:type="dxa"/>
            <w:shd w:val="clear" w:color="auto" w:fill="D9D9D9" w:themeFill="background1" w:themeFillShade="D9"/>
          </w:tcPr>
          <w:p w14:paraId="36472C48" w14:textId="77777777" w:rsidR="00ED1B9C" w:rsidRPr="00E41438" w:rsidRDefault="00ED1B9C">
            <w:pPr>
              <w:rPr>
                <w:rFonts w:asciiTheme="minorHAnsi" w:hAnsiTheme="minorHAnsi"/>
                <w:b/>
                <w:sz w:val="22"/>
                <w:szCs w:val="22"/>
              </w:rPr>
            </w:pPr>
            <w:r w:rsidRPr="00E41438">
              <w:rPr>
                <w:rFonts w:asciiTheme="minorHAnsi" w:hAnsiTheme="minorHAnsi"/>
                <w:b/>
                <w:sz w:val="22"/>
                <w:szCs w:val="22"/>
              </w:rPr>
              <w:t>No</w:t>
            </w:r>
          </w:p>
        </w:tc>
        <w:tc>
          <w:tcPr>
            <w:tcW w:w="2329" w:type="dxa"/>
            <w:shd w:val="clear" w:color="auto" w:fill="D9D9D9" w:themeFill="background1" w:themeFillShade="D9"/>
          </w:tcPr>
          <w:p w14:paraId="637AA5EA" w14:textId="77777777" w:rsidR="00ED1B9C" w:rsidRPr="00E41438" w:rsidRDefault="00ED1B9C" w:rsidP="00ED1B9C">
            <w:pPr>
              <w:rPr>
                <w:rFonts w:asciiTheme="minorHAnsi" w:hAnsiTheme="minorHAnsi"/>
                <w:b/>
                <w:sz w:val="22"/>
                <w:szCs w:val="22"/>
              </w:rPr>
            </w:pPr>
            <w:r w:rsidRPr="00E41438">
              <w:rPr>
                <w:rFonts w:asciiTheme="minorHAnsi" w:hAnsiTheme="minorHAnsi"/>
                <w:b/>
                <w:sz w:val="22"/>
                <w:szCs w:val="22"/>
              </w:rPr>
              <w:t>Comments/Plan for Improvement</w:t>
            </w:r>
          </w:p>
        </w:tc>
      </w:tr>
      <w:tr w:rsidR="00ED1B9C" w:rsidRPr="00ED1B9C" w14:paraId="01DAF4BB" w14:textId="77777777" w:rsidTr="002F5E2E">
        <w:trPr>
          <w:trHeight w:val="301"/>
        </w:trPr>
        <w:tc>
          <w:tcPr>
            <w:tcW w:w="7759" w:type="dxa"/>
          </w:tcPr>
          <w:p w14:paraId="1A7BD773" w14:textId="77777777" w:rsidR="008641FC" w:rsidRPr="008641FC" w:rsidRDefault="008641FC" w:rsidP="008641FC">
            <w:pPr>
              <w:pStyle w:val="ListParagraph"/>
              <w:numPr>
                <w:ilvl w:val="0"/>
                <w:numId w:val="18"/>
              </w:numPr>
              <w:spacing w:after="160" w:line="259" w:lineRule="auto"/>
              <w:rPr>
                <w:sz w:val="22"/>
                <w:szCs w:val="22"/>
              </w:rPr>
            </w:pPr>
            <w:r w:rsidRPr="008641FC">
              <w:rPr>
                <w:sz w:val="22"/>
                <w:szCs w:val="22"/>
              </w:rPr>
              <w:t>Client-Centered Approach: Street outreach services embrace individual needs and choices. This entails:</w:t>
            </w:r>
          </w:p>
          <w:p w14:paraId="29AC27D3" w14:textId="77777777" w:rsidR="008641FC" w:rsidRPr="008641FC" w:rsidRDefault="008641FC" w:rsidP="008641FC">
            <w:pPr>
              <w:pStyle w:val="ListParagraph"/>
              <w:numPr>
                <w:ilvl w:val="0"/>
                <w:numId w:val="19"/>
              </w:numPr>
              <w:spacing w:after="160" w:line="259" w:lineRule="auto"/>
              <w:rPr>
                <w:sz w:val="22"/>
                <w:szCs w:val="22"/>
              </w:rPr>
            </w:pPr>
            <w:r w:rsidRPr="008641FC">
              <w:rPr>
                <w:sz w:val="22"/>
                <w:szCs w:val="22"/>
              </w:rPr>
              <w:t>Conducting individualized needs assessments</w:t>
            </w:r>
          </w:p>
          <w:p w14:paraId="7795B1CC" w14:textId="77777777" w:rsidR="008641FC" w:rsidRPr="008641FC" w:rsidRDefault="008641FC" w:rsidP="008641FC">
            <w:pPr>
              <w:pStyle w:val="ListParagraph"/>
              <w:numPr>
                <w:ilvl w:val="0"/>
                <w:numId w:val="19"/>
              </w:numPr>
              <w:spacing w:after="160" w:line="259" w:lineRule="auto"/>
              <w:rPr>
                <w:sz w:val="22"/>
                <w:szCs w:val="22"/>
              </w:rPr>
            </w:pPr>
            <w:r w:rsidRPr="008641FC">
              <w:rPr>
                <w:sz w:val="22"/>
                <w:szCs w:val="22"/>
              </w:rPr>
              <w:t>Informing participants about emergency shelters, temporary housing, and permanent housing options</w:t>
            </w:r>
          </w:p>
          <w:p w14:paraId="778FA0A4" w14:textId="77777777" w:rsidR="008641FC" w:rsidRPr="008641FC" w:rsidRDefault="008641FC" w:rsidP="008641FC">
            <w:pPr>
              <w:pStyle w:val="ListParagraph"/>
              <w:numPr>
                <w:ilvl w:val="0"/>
                <w:numId w:val="19"/>
              </w:numPr>
              <w:spacing w:after="160" w:line="259" w:lineRule="auto"/>
              <w:rPr>
                <w:sz w:val="22"/>
                <w:szCs w:val="22"/>
              </w:rPr>
            </w:pPr>
            <w:r w:rsidRPr="008641FC">
              <w:rPr>
                <w:sz w:val="22"/>
                <w:szCs w:val="22"/>
              </w:rPr>
              <w:t>Referring eligible participants to Coordinated Entry housing priority lists</w:t>
            </w:r>
          </w:p>
          <w:p w14:paraId="5DB17C6E" w14:textId="77777777" w:rsidR="008641FC" w:rsidRPr="008641FC" w:rsidRDefault="008641FC" w:rsidP="008641FC">
            <w:pPr>
              <w:pStyle w:val="ListParagraph"/>
              <w:numPr>
                <w:ilvl w:val="0"/>
                <w:numId w:val="19"/>
              </w:numPr>
              <w:spacing w:after="160" w:line="259" w:lineRule="auto"/>
              <w:rPr>
                <w:sz w:val="22"/>
                <w:szCs w:val="22"/>
              </w:rPr>
            </w:pPr>
            <w:r w:rsidRPr="008641FC">
              <w:rPr>
                <w:sz w:val="22"/>
                <w:szCs w:val="22"/>
              </w:rPr>
              <w:t>Facilitating connections to preferred permanent housing solutions</w:t>
            </w:r>
          </w:p>
          <w:p w14:paraId="1A6A4EBA" w14:textId="77777777" w:rsidR="008641FC" w:rsidRPr="008641FC" w:rsidRDefault="008641FC" w:rsidP="008641FC">
            <w:pPr>
              <w:pStyle w:val="ListParagraph"/>
              <w:numPr>
                <w:ilvl w:val="0"/>
                <w:numId w:val="19"/>
              </w:numPr>
              <w:spacing w:after="160" w:line="259" w:lineRule="auto"/>
              <w:rPr>
                <w:sz w:val="22"/>
                <w:szCs w:val="22"/>
              </w:rPr>
            </w:pPr>
            <w:r w:rsidRPr="008641FC">
              <w:rPr>
                <w:sz w:val="22"/>
                <w:szCs w:val="22"/>
              </w:rPr>
              <w:t>Addressing immediate physical requirements (meals, clothing, etc.)</w:t>
            </w:r>
          </w:p>
          <w:p w14:paraId="53B3E417" w14:textId="21EF028F" w:rsidR="008641FC" w:rsidRPr="00ED1B9C" w:rsidRDefault="008641FC" w:rsidP="008641FC">
            <w:pPr>
              <w:pStyle w:val="ListParagraph"/>
              <w:numPr>
                <w:ilvl w:val="0"/>
                <w:numId w:val="19"/>
              </w:numPr>
              <w:spacing w:after="160" w:line="259" w:lineRule="auto"/>
            </w:pPr>
            <w:r w:rsidRPr="008641FC">
              <w:rPr>
                <w:sz w:val="22"/>
                <w:szCs w:val="22"/>
              </w:rPr>
              <w:t>Assisting participants in accessing eligible mainstream benefits and resources</w:t>
            </w:r>
          </w:p>
        </w:tc>
        <w:tc>
          <w:tcPr>
            <w:tcW w:w="529" w:type="dxa"/>
          </w:tcPr>
          <w:p w14:paraId="37422F08" w14:textId="77777777" w:rsidR="00ED1B9C" w:rsidRPr="00ED1B9C" w:rsidRDefault="00ED1B9C">
            <w:pPr>
              <w:rPr>
                <w:rFonts w:asciiTheme="minorHAnsi" w:hAnsiTheme="minorHAnsi"/>
                <w:sz w:val="20"/>
                <w:szCs w:val="20"/>
              </w:rPr>
            </w:pPr>
          </w:p>
        </w:tc>
        <w:tc>
          <w:tcPr>
            <w:tcW w:w="538" w:type="dxa"/>
          </w:tcPr>
          <w:p w14:paraId="0113163C" w14:textId="77777777" w:rsidR="00ED1B9C" w:rsidRPr="00ED1B9C" w:rsidRDefault="00ED1B9C">
            <w:pPr>
              <w:rPr>
                <w:rFonts w:asciiTheme="minorHAnsi" w:hAnsiTheme="minorHAnsi"/>
                <w:sz w:val="20"/>
                <w:szCs w:val="20"/>
              </w:rPr>
            </w:pPr>
          </w:p>
        </w:tc>
        <w:tc>
          <w:tcPr>
            <w:tcW w:w="2329" w:type="dxa"/>
          </w:tcPr>
          <w:p w14:paraId="5448A47B" w14:textId="77777777" w:rsidR="00ED1B9C" w:rsidRPr="00ED1B9C" w:rsidRDefault="00ED1B9C">
            <w:pPr>
              <w:rPr>
                <w:rFonts w:asciiTheme="minorHAnsi" w:hAnsiTheme="minorHAnsi"/>
                <w:sz w:val="20"/>
                <w:szCs w:val="20"/>
              </w:rPr>
            </w:pPr>
          </w:p>
        </w:tc>
      </w:tr>
      <w:tr w:rsidR="00ED1B9C" w:rsidRPr="00ED1B9C" w14:paraId="4598A3E1" w14:textId="77777777" w:rsidTr="002F5E2E">
        <w:trPr>
          <w:trHeight w:val="301"/>
        </w:trPr>
        <w:tc>
          <w:tcPr>
            <w:tcW w:w="7759" w:type="dxa"/>
          </w:tcPr>
          <w:p w14:paraId="47EB540B" w14:textId="754C60D6" w:rsidR="00ED1B9C" w:rsidRPr="001814C4" w:rsidRDefault="008641FC" w:rsidP="008641FC">
            <w:pPr>
              <w:pStyle w:val="ListParagraph"/>
              <w:numPr>
                <w:ilvl w:val="0"/>
                <w:numId w:val="18"/>
              </w:numPr>
              <w:spacing w:before="0" w:after="160" w:line="259" w:lineRule="auto"/>
              <w:rPr>
                <w:sz w:val="22"/>
                <w:szCs w:val="22"/>
              </w:rPr>
            </w:pPr>
            <w:r>
              <w:rPr>
                <w:sz w:val="22"/>
                <w:szCs w:val="22"/>
              </w:rPr>
              <w:t>Mobile Outreach Focus: Outreach efforts prioritize mobility, reaching participants on their terms, rather than expecting them to visit facilities.</w:t>
            </w:r>
          </w:p>
        </w:tc>
        <w:tc>
          <w:tcPr>
            <w:tcW w:w="529" w:type="dxa"/>
          </w:tcPr>
          <w:p w14:paraId="2A0406FC" w14:textId="77777777" w:rsidR="00ED1B9C" w:rsidRPr="00ED1B9C" w:rsidRDefault="00ED1B9C">
            <w:pPr>
              <w:rPr>
                <w:rFonts w:asciiTheme="minorHAnsi" w:hAnsiTheme="minorHAnsi"/>
                <w:sz w:val="20"/>
                <w:szCs w:val="20"/>
              </w:rPr>
            </w:pPr>
          </w:p>
        </w:tc>
        <w:tc>
          <w:tcPr>
            <w:tcW w:w="538" w:type="dxa"/>
          </w:tcPr>
          <w:p w14:paraId="778CCBFB" w14:textId="77777777" w:rsidR="00ED1B9C" w:rsidRPr="00ED1B9C" w:rsidRDefault="00ED1B9C">
            <w:pPr>
              <w:rPr>
                <w:rFonts w:asciiTheme="minorHAnsi" w:hAnsiTheme="minorHAnsi"/>
                <w:sz w:val="20"/>
                <w:szCs w:val="20"/>
              </w:rPr>
            </w:pPr>
          </w:p>
        </w:tc>
        <w:tc>
          <w:tcPr>
            <w:tcW w:w="2329" w:type="dxa"/>
          </w:tcPr>
          <w:p w14:paraId="6F7A6599" w14:textId="77777777" w:rsidR="00ED1B9C" w:rsidRPr="00ED1B9C" w:rsidRDefault="00ED1B9C">
            <w:pPr>
              <w:rPr>
                <w:rFonts w:asciiTheme="minorHAnsi" w:hAnsiTheme="minorHAnsi"/>
                <w:sz w:val="20"/>
                <w:szCs w:val="20"/>
              </w:rPr>
            </w:pPr>
          </w:p>
        </w:tc>
      </w:tr>
      <w:tr w:rsidR="00ED1B9C" w:rsidRPr="00ED1B9C" w14:paraId="17AB2E19" w14:textId="77777777" w:rsidTr="002F5E2E">
        <w:trPr>
          <w:trHeight w:val="301"/>
        </w:trPr>
        <w:tc>
          <w:tcPr>
            <w:tcW w:w="7759" w:type="dxa"/>
          </w:tcPr>
          <w:p w14:paraId="0BD3CDFA" w14:textId="05D2932E" w:rsidR="00ED1B9C" w:rsidRPr="001814C4" w:rsidRDefault="008641FC" w:rsidP="008641FC">
            <w:pPr>
              <w:pStyle w:val="ListParagraph"/>
              <w:numPr>
                <w:ilvl w:val="0"/>
                <w:numId w:val="18"/>
              </w:numPr>
              <w:spacing w:before="0" w:after="160" w:line="259" w:lineRule="auto"/>
              <w:rPr>
                <w:sz w:val="22"/>
                <w:szCs w:val="22"/>
              </w:rPr>
            </w:pPr>
            <w:r>
              <w:rPr>
                <w:sz w:val="22"/>
                <w:szCs w:val="22"/>
              </w:rPr>
              <w:t xml:space="preserve">Engagement: The engagement process is vital in street outreach, especially when individuals are initially unwilling or uncertain about seeking assistance. Building trust and rapport through persistent follow-ups and check-ins is essential, while respecting individual autonomy and choice. Coordination with other outreach teams should be explored if a person refuses engagement. </w:t>
            </w:r>
          </w:p>
        </w:tc>
        <w:tc>
          <w:tcPr>
            <w:tcW w:w="529" w:type="dxa"/>
          </w:tcPr>
          <w:p w14:paraId="57919E20" w14:textId="77777777" w:rsidR="00ED1B9C" w:rsidRPr="00ED1B9C" w:rsidRDefault="00ED1B9C">
            <w:pPr>
              <w:rPr>
                <w:rFonts w:asciiTheme="minorHAnsi" w:hAnsiTheme="minorHAnsi"/>
                <w:sz w:val="20"/>
                <w:szCs w:val="20"/>
              </w:rPr>
            </w:pPr>
          </w:p>
        </w:tc>
        <w:tc>
          <w:tcPr>
            <w:tcW w:w="538" w:type="dxa"/>
          </w:tcPr>
          <w:p w14:paraId="086C1535" w14:textId="77777777" w:rsidR="00ED1B9C" w:rsidRPr="00ED1B9C" w:rsidRDefault="00ED1B9C">
            <w:pPr>
              <w:rPr>
                <w:rFonts w:asciiTheme="minorHAnsi" w:hAnsiTheme="minorHAnsi"/>
                <w:sz w:val="20"/>
                <w:szCs w:val="20"/>
              </w:rPr>
            </w:pPr>
          </w:p>
        </w:tc>
        <w:tc>
          <w:tcPr>
            <w:tcW w:w="2329" w:type="dxa"/>
          </w:tcPr>
          <w:p w14:paraId="35765517" w14:textId="77777777" w:rsidR="00ED1B9C" w:rsidRPr="00ED1B9C" w:rsidRDefault="00ED1B9C">
            <w:pPr>
              <w:rPr>
                <w:rFonts w:asciiTheme="minorHAnsi" w:hAnsiTheme="minorHAnsi"/>
                <w:sz w:val="20"/>
                <w:szCs w:val="20"/>
              </w:rPr>
            </w:pPr>
          </w:p>
        </w:tc>
      </w:tr>
      <w:tr w:rsidR="00ED1B9C" w:rsidRPr="00ED1B9C" w14:paraId="4ACCA72C" w14:textId="77777777" w:rsidTr="002F5E2E">
        <w:trPr>
          <w:trHeight w:val="301"/>
        </w:trPr>
        <w:tc>
          <w:tcPr>
            <w:tcW w:w="7759" w:type="dxa"/>
          </w:tcPr>
          <w:p w14:paraId="62E44295" w14:textId="77777777" w:rsidR="00ED1B9C" w:rsidRDefault="008641FC" w:rsidP="008641FC">
            <w:pPr>
              <w:pStyle w:val="ListParagraph"/>
              <w:numPr>
                <w:ilvl w:val="0"/>
                <w:numId w:val="18"/>
              </w:numPr>
              <w:spacing w:before="0" w:after="160" w:line="259" w:lineRule="auto"/>
              <w:rPr>
                <w:sz w:val="22"/>
                <w:szCs w:val="22"/>
              </w:rPr>
            </w:pPr>
            <w:r>
              <w:rPr>
                <w:sz w:val="22"/>
                <w:szCs w:val="22"/>
              </w:rPr>
              <w:t xml:space="preserve">Long-Term Engagement and Participant Exit: Generally, outreach staff will remain committed to supporting individuals until they obtain permanent housing. Participants will be </w:t>
            </w:r>
            <w:proofErr w:type="gramStart"/>
            <w:r>
              <w:rPr>
                <w:sz w:val="22"/>
                <w:szCs w:val="22"/>
              </w:rPr>
              <w:t>exited</w:t>
            </w:r>
            <w:proofErr w:type="gramEnd"/>
            <w:r>
              <w:rPr>
                <w:sz w:val="22"/>
                <w:szCs w:val="22"/>
              </w:rPr>
              <w:t xml:space="preserve"> from the street outreach program when they have: </w:t>
            </w:r>
          </w:p>
          <w:p w14:paraId="6C721633" w14:textId="77777777" w:rsidR="008641FC" w:rsidRDefault="008641FC" w:rsidP="008641FC">
            <w:pPr>
              <w:pStyle w:val="ListParagraph"/>
              <w:numPr>
                <w:ilvl w:val="0"/>
                <w:numId w:val="20"/>
              </w:numPr>
              <w:spacing w:before="0" w:after="160" w:line="259" w:lineRule="auto"/>
              <w:rPr>
                <w:sz w:val="22"/>
                <w:szCs w:val="22"/>
              </w:rPr>
            </w:pPr>
            <w:r>
              <w:rPr>
                <w:sz w:val="22"/>
                <w:szCs w:val="22"/>
              </w:rPr>
              <w:t>Secured permanent housing; or</w:t>
            </w:r>
          </w:p>
          <w:p w14:paraId="7B254F7D" w14:textId="45628D5B" w:rsidR="008641FC" w:rsidRDefault="008641FC" w:rsidP="008641FC">
            <w:pPr>
              <w:pStyle w:val="ListParagraph"/>
              <w:numPr>
                <w:ilvl w:val="0"/>
                <w:numId w:val="20"/>
              </w:numPr>
              <w:spacing w:before="0" w:after="160" w:line="259" w:lineRule="auto"/>
              <w:rPr>
                <w:sz w:val="22"/>
                <w:szCs w:val="22"/>
              </w:rPr>
            </w:pPr>
            <w:r>
              <w:rPr>
                <w:sz w:val="22"/>
                <w:szCs w:val="22"/>
              </w:rPr>
              <w:t xml:space="preserve">Enrolled in other supportive services, such as CCS, CSP and shelter case management services, </w:t>
            </w:r>
            <w:r w:rsidRPr="008641FC">
              <w:rPr>
                <w:sz w:val="22"/>
                <w:szCs w:val="22"/>
                <w:u w:val="single"/>
              </w:rPr>
              <w:t>and</w:t>
            </w:r>
            <w:r>
              <w:rPr>
                <w:sz w:val="22"/>
                <w:szCs w:val="22"/>
                <w:u w:val="single"/>
              </w:rPr>
              <w:t xml:space="preserve"> </w:t>
            </w:r>
            <w:r>
              <w:rPr>
                <w:sz w:val="22"/>
                <w:szCs w:val="22"/>
              </w:rPr>
              <w:t>expressed no further desire to receive street outreach services. (Street outreach staff can continue to work with participants enrolled in other case management services if they meet the street outreach eligibility and wish to continue to work with street outreach.); or</w:t>
            </w:r>
          </w:p>
          <w:p w14:paraId="1D142749" w14:textId="7E298EA6" w:rsidR="008641FC" w:rsidRPr="001814C4" w:rsidRDefault="008641FC" w:rsidP="008641FC">
            <w:pPr>
              <w:pStyle w:val="ListParagraph"/>
              <w:numPr>
                <w:ilvl w:val="0"/>
                <w:numId w:val="20"/>
              </w:numPr>
              <w:spacing w:before="0" w:after="160" w:line="259" w:lineRule="auto"/>
              <w:rPr>
                <w:sz w:val="22"/>
                <w:szCs w:val="22"/>
              </w:rPr>
            </w:pPr>
            <w:r>
              <w:rPr>
                <w:sz w:val="22"/>
                <w:szCs w:val="22"/>
              </w:rPr>
              <w:t>Had no contact with outreach staff for a continuous period of 90 days, despite staff’s efforts to connect.</w:t>
            </w:r>
          </w:p>
        </w:tc>
        <w:tc>
          <w:tcPr>
            <w:tcW w:w="529" w:type="dxa"/>
          </w:tcPr>
          <w:p w14:paraId="2933E9D2" w14:textId="77777777" w:rsidR="00ED1B9C" w:rsidRPr="00ED1B9C" w:rsidRDefault="00ED1B9C">
            <w:pPr>
              <w:rPr>
                <w:rFonts w:asciiTheme="minorHAnsi" w:hAnsiTheme="minorHAnsi"/>
                <w:sz w:val="20"/>
                <w:szCs w:val="20"/>
              </w:rPr>
            </w:pPr>
          </w:p>
        </w:tc>
        <w:tc>
          <w:tcPr>
            <w:tcW w:w="538" w:type="dxa"/>
          </w:tcPr>
          <w:p w14:paraId="479DF002" w14:textId="77777777" w:rsidR="00ED1B9C" w:rsidRPr="00ED1B9C" w:rsidRDefault="00ED1B9C">
            <w:pPr>
              <w:rPr>
                <w:rFonts w:asciiTheme="minorHAnsi" w:hAnsiTheme="minorHAnsi"/>
                <w:sz w:val="20"/>
                <w:szCs w:val="20"/>
              </w:rPr>
            </w:pPr>
          </w:p>
        </w:tc>
        <w:tc>
          <w:tcPr>
            <w:tcW w:w="2329" w:type="dxa"/>
          </w:tcPr>
          <w:p w14:paraId="110D6AF3" w14:textId="77777777" w:rsidR="00ED1B9C" w:rsidRPr="00ED1B9C" w:rsidRDefault="00ED1B9C">
            <w:pPr>
              <w:rPr>
                <w:rFonts w:asciiTheme="minorHAnsi" w:hAnsiTheme="minorHAnsi"/>
                <w:sz w:val="20"/>
                <w:szCs w:val="20"/>
              </w:rPr>
            </w:pPr>
          </w:p>
        </w:tc>
      </w:tr>
      <w:tr w:rsidR="00ED1B9C" w:rsidRPr="00ED1B9C" w14:paraId="1FE6C163" w14:textId="77777777" w:rsidTr="002F5E2E">
        <w:trPr>
          <w:trHeight w:val="301"/>
        </w:trPr>
        <w:tc>
          <w:tcPr>
            <w:tcW w:w="7759" w:type="dxa"/>
          </w:tcPr>
          <w:p w14:paraId="283613FC" w14:textId="4E8E6EF6" w:rsidR="0049509C" w:rsidRPr="006B2626" w:rsidRDefault="00336D07" w:rsidP="008641FC">
            <w:pPr>
              <w:pStyle w:val="NoSpacing"/>
              <w:numPr>
                <w:ilvl w:val="0"/>
                <w:numId w:val="18"/>
              </w:numPr>
              <w:rPr>
                <w:sz w:val="22"/>
              </w:rPr>
            </w:pPr>
            <w:r>
              <w:rPr>
                <w:sz w:val="22"/>
              </w:rPr>
              <w:t xml:space="preserve">Coordinated Entry Hub: Street outreach staff who use HMIS may become mobile hubs in the CoC Coordinated Entry (CE) system. Initial certification and ongoing training </w:t>
            </w:r>
            <w:proofErr w:type="gramStart"/>
            <w:r>
              <w:rPr>
                <w:sz w:val="22"/>
              </w:rPr>
              <w:t>is</w:t>
            </w:r>
            <w:proofErr w:type="gramEnd"/>
            <w:r>
              <w:rPr>
                <w:sz w:val="22"/>
              </w:rPr>
              <w:t xml:space="preserve"> required to ensure competency in conducting CE assessments.</w:t>
            </w:r>
          </w:p>
          <w:p w14:paraId="3DA96B96" w14:textId="77777777" w:rsidR="00ED1B9C" w:rsidRPr="00ED1B9C" w:rsidRDefault="00ED1B9C">
            <w:pPr>
              <w:rPr>
                <w:rFonts w:asciiTheme="minorHAnsi" w:hAnsiTheme="minorHAnsi"/>
                <w:sz w:val="20"/>
                <w:szCs w:val="20"/>
              </w:rPr>
            </w:pPr>
          </w:p>
        </w:tc>
        <w:tc>
          <w:tcPr>
            <w:tcW w:w="529" w:type="dxa"/>
          </w:tcPr>
          <w:p w14:paraId="27912672" w14:textId="77777777" w:rsidR="00ED1B9C" w:rsidRPr="00ED1B9C" w:rsidRDefault="00ED1B9C">
            <w:pPr>
              <w:rPr>
                <w:rFonts w:asciiTheme="minorHAnsi" w:hAnsiTheme="minorHAnsi"/>
                <w:sz w:val="20"/>
                <w:szCs w:val="20"/>
              </w:rPr>
            </w:pPr>
          </w:p>
        </w:tc>
        <w:tc>
          <w:tcPr>
            <w:tcW w:w="538" w:type="dxa"/>
          </w:tcPr>
          <w:p w14:paraId="067CABCC" w14:textId="77777777" w:rsidR="00ED1B9C" w:rsidRPr="00ED1B9C" w:rsidRDefault="00ED1B9C">
            <w:pPr>
              <w:rPr>
                <w:rFonts w:asciiTheme="minorHAnsi" w:hAnsiTheme="minorHAnsi"/>
                <w:sz w:val="20"/>
                <w:szCs w:val="20"/>
              </w:rPr>
            </w:pPr>
          </w:p>
        </w:tc>
        <w:tc>
          <w:tcPr>
            <w:tcW w:w="2329" w:type="dxa"/>
          </w:tcPr>
          <w:p w14:paraId="77D7766A" w14:textId="77777777" w:rsidR="00ED1B9C" w:rsidRPr="00ED1B9C" w:rsidRDefault="00ED1B9C">
            <w:pPr>
              <w:rPr>
                <w:rFonts w:asciiTheme="minorHAnsi" w:hAnsiTheme="minorHAnsi"/>
                <w:sz w:val="20"/>
                <w:szCs w:val="20"/>
              </w:rPr>
            </w:pPr>
          </w:p>
        </w:tc>
      </w:tr>
      <w:tr w:rsidR="00ED1B9C" w:rsidRPr="00ED1B9C" w14:paraId="351785B5" w14:textId="77777777" w:rsidTr="002F5E2E">
        <w:trPr>
          <w:trHeight w:val="317"/>
        </w:trPr>
        <w:tc>
          <w:tcPr>
            <w:tcW w:w="7759" w:type="dxa"/>
          </w:tcPr>
          <w:p w14:paraId="748BF2C9" w14:textId="25139EC9" w:rsidR="00ED1B9C" w:rsidRPr="00ED1B9C" w:rsidRDefault="00336D07" w:rsidP="00336D07">
            <w:pPr>
              <w:pStyle w:val="NoSpacing"/>
              <w:numPr>
                <w:ilvl w:val="0"/>
                <w:numId w:val="18"/>
              </w:numPr>
            </w:pPr>
            <w:r>
              <w:rPr>
                <w:sz w:val="22"/>
              </w:rPr>
              <w:lastRenderedPageBreak/>
              <w:t xml:space="preserve">Collaboration and Service Coordination: To enhance effectiveness and avoid duplication, street outreach teams actively participate in CoC’s outreach case </w:t>
            </w:r>
            <w:r w:rsidRPr="001A2A75">
              <w:rPr>
                <w:sz w:val="22"/>
                <w:szCs w:val="22"/>
              </w:rPr>
              <w:t xml:space="preserve">conferencing meetings and ensure timely HMIS entries. Refer to the most up-to-date </w:t>
            </w:r>
            <w:hyperlink r:id="rId7" w:history="1">
              <w:r w:rsidRPr="001A2A75">
                <w:rPr>
                  <w:rStyle w:val="Hyperlink"/>
                  <w:sz w:val="22"/>
                  <w:szCs w:val="22"/>
                </w:rPr>
                <w:t>HUD ESG Progra</w:t>
              </w:r>
              <w:r w:rsidRPr="001A2A75">
                <w:rPr>
                  <w:rStyle w:val="Hyperlink"/>
                  <w:sz w:val="22"/>
                  <w:szCs w:val="22"/>
                </w:rPr>
                <w:t>m</w:t>
              </w:r>
              <w:r w:rsidRPr="001A2A75">
                <w:rPr>
                  <w:rStyle w:val="Hyperlink"/>
                  <w:sz w:val="22"/>
                  <w:szCs w:val="22"/>
                </w:rPr>
                <w:t xml:space="preserve"> HMIS Manual</w:t>
              </w:r>
            </w:hyperlink>
            <w:r w:rsidRPr="001A2A75">
              <w:rPr>
                <w:sz w:val="22"/>
                <w:szCs w:val="22"/>
              </w:rPr>
              <w:t>, specifically the Street Outreach section.</w:t>
            </w:r>
          </w:p>
        </w:tc>
        <w:tc>
          <w:tcPr>
            <w:tcW w:w="529" w:type="dxa"/>
          </w:tcPr>
          <w:p w14:paraId="37EE0121" w14:textId="77777777" w:rsidR="00ED1B9C" w:rsidRPr="00ED1B9C" w:rsidRDefault="00ED1B9C">
            <w:pPr>
              <w:rPr>
                <w:rFonts w:asciiTheme="minorHAnsi" w:hAnsiTheme="minorHAnsi"/>
                <w:sz w:val="20"/>
                <w:szCs w:val="20"/>
              </w:rPr>
            </w:pPr>
          </w:p>
        </w:tc>
        <w:tc>
          <w:tcPr>
            <w:tcW w:w="538" w:type="dxa"/>
          </w:tcPr>
          <w:p w14:paraId="40AE2F6C" w14:textId="77777777" w:rsidR="00ED1B9C" w:rsidRPr="00ED1B9C" w:rsidRDefault="00ED1B9C">
            <w:pPr>
              <w:rPr>
                <w:rFonts w:asciiTheme="minorHAnsi" w:hAnsiTheme="minorHAnsi"/>
                <w:sz w:val="20"/>
                <w:szCs w:val="20"/>
              </w:rPr>
            </w:pPr>
          </w:p>
        </w:tc>
        <w:tc>
          <w:tcPr>
            <w:tcW w:w="2329" w:type="dxa"/>
          </w:tcPr>
          <w:p w14:paraId="755E134E" w14:textId="77777777" w:rsidR="00ED1B9C" w:rsidRPr="00ED1B9C" w:rsidRDefault="00ED1B9C">
            <w:pPr>
              <w:rPr>
                <w:rFonts w:asciiTheme="minorHAnsi" w:hAnsiTheme="minorHAnsi"/>
                <w:sz w:val="20"/>
                <w:szCs w:val="20"/>
              </w:rPr>
            </w:pPr>
          </w:p>
        </w:tc>
      </w:tr>
      <w:tr w:rsidR="00ED1B9C" w:rsidRPr="00ED1B9C" w14:paraId="140E92F2" w14:textId="77777777" w:rsidTr="002F5E2E">
        <w:trPr>
          <w:trHeight w:val="301"/>
        </w:trPr>
        <w:tc>
          <w:tcPr>
            <w:tcW w:w="7759" w:type="dxa"/>
          </w:tcPr>
          <w:p w14:paraId="174AA8C6" w14:textId="5590C19C" w:rsidR="001A2A75" w:rsidRDefault="00336D07" w:rsidP="001A2A75">
            <w:pPr>
              <w:pStyle w:val="NoSpacing"/>
              <w:numPr>
                <w:ilvl w:val="0"/>
                <w:numId w:val="18"/>
              </w:numPr>
              <w:rPr>
                <w:sz w:val="22"/>
              </w:rPr>
            </w:pPr>
            <w:r>
              <w:rPr>
                <w:sz w:val="22"/>
              </w:rPr>
              <w:t xml:space="preserve">Documentation and Eligibility: </w:t>
            </w:r>
            <w:r w:rsidR="001A2A75">
              <w:rPr>
                <w:sz w:val="22"/>
              </w:rPr>
              <w:t>Prior to referral to a PSH program that requires chronic homeless verification, the following documentation must be completed and submitted to the Coordinated Entry Manager within 60 days of Tier 2 prioritization:</w:t>
            </w:r>
          </w:p>
          <w:p w14:paraId="63189920" w14:textId="23283D9A" w:rsidR="001A2A75" w:rsidRDefault="001A2A75" w:rsidP="001A2A75">
            <w:pPr>
              <w:pStyle w:val="NoSpacing"/>
              <w:numPr>
                <w:ilvl w:val="0"/>
                <w:numId w:val="21"/>
              </w:numPr>
              <w:rPr>
                <w:sz w:val="22"/>
              </w:rPr>
            </w:pPr>
            <w:r>
              <w:rPr>
                <w:sz w:val="22"/>
              </w:rPr>
              <w:t>Documentation of disability</w:t>
            </w:r>
          </w:p>
          <w:p w14:paraId="1D4C429C" w14:textId="31C7408B" w:rsidR="001A2A75" w:rsidRDefault="001A2A75" w:rsidP="001A2A75">
            <w:pPr>
              <w:pStyle w:val="NoSpacing"/>
              <w:numPr>
                <w:ilvl w:val="0"/>
                <w:numId w:val="21"/>
              </w:numPr>
              <w:rPr>
                <w:sz w:val="22"/>
              </w:rPr>
            </w:pPr>
            <w:r>
              <w:rPr>
                <w:sz w:val="22"/>
              </w:rPr>
              <w:t>Homelessness documentation: evidence of the length and frequency of homelessness consistent with HUD’s chronic homeless definition</w:t>
            </w:r>
          </w:p>
          <w:p w14:paraId="632949F3" w14:textId="57E07619" w:rsidR="001A2A75" w:rsidRPr="001A2A75" w:rsidRDefault="001A2A75" w:rsidP="001A2A75">
            <w:pPr>
              <w:pStyle w:val="NoSpacing"/>
              <w:rPr>
                <w:sz w:val="22"/>
              </w:rPr>
            </w:pPr>
            <w:r>
              <w:rPr>
                <w:sz w:val="22"/>
              </w:rPr>
              <w:t xml:space="preserve">            For participants enrolled in multiple programs, the program designated to complete the Tier 2 assessment will take the lead on collecting documentation and providers will collaborate to ensure documentation is completed. </w:t>
            </w:r>
          </w:p>
          <w:p w14:paraId="2CBDD81F" w14:textId="77777777" w:rsidR="00ED1B9C" w:rsidRPr="00ED1B9C" w:rsidRDefault="00ED1B9C">
            <w:pPr>
              <w:rPr>
                <w:rFonts w:asciiTheme="minorHAnsi" w:hAnsiTheme="minorHAnsi"/>
                <w:sz w:val="20"/>
                <w:szCs w:val="20"/>
              </w:rPr>
            </w:pPr>
          </w:p>
        </w:tc>
        <w:tc>
          <w:tcPr>
            <w:tcW w:w="529" w:type="dxa"/>
          </w:tcPr>
          <w:p w14:paraId="0A18DAEE" w14:textId="77777777" w:rsidR="00ED1B9C" w:rsidRPr="00ED1B9C" w:rsidRDefault="00ED1B9C">
            <w:pPr>
              <w:rPr>
                <w:rFonts w:asciiTheme="minorHAnsi" w:hAnsiTheme="minorHAnsi"/>
                <w:sz w:val="20"/>
                <w:szCs w:val="20"/>
              </w:rPr>
            </w:pPr>
          </w:p>
        </w:tc>
        <w:tc>
          <w:tcPr>
            <w:tcW w:w="538" w:type="dxa"/>
          </w:tcPr>
          <w:p w14:paraId="7693A2BE" w14:textId="77777777" w:rsidR="00ED1B9C" w:rsidRPr="00ED1B9C" w:rsidRDefault="00ED1B9C">
            <w:pPr>
              <w:rPr>
                <w:rFonts w:asciiTheme="minorHAnsi" w:hAnsiTheme="minorHAnsi"/>
                <w:sz w:val="20"/>
                <w:szCs w:val="20"/>
              </w:rPr>
            </w:pPr>
          </w:p>
        </w:tc>
        <w:tc>
          <w:tcPr>
            <w:tcW w:w="2329" w:type="dxa"/>
          </w:tcPr>
          <w:p w14:paraId="18D73B67" w14:textId="77777777" w:rsidR="00ED1B9C" w:rsidRPr="00ED1B9C" w:rsidRDefault="00ED1B9C">
            <w:pPr>
              <w:rPr>
                <w:rFonts w:asciiTheme="minorHAnsi" w:hAnsiTheme="minorHAnsi"/>
                <w:sz w:val="20"/>
                <w:szCs w:val="20"/>
              </w:rPr>
            </w:pPr>
          </w:p>
        </w:tc>
      </w:tr>
      <w:tr w:rsidR="00F466AF" w:rsidRPr="00ED1B9C" w14:paraId="3F6D32A1" w14:textId="77777777" w:rsidTr="002135BE">
        <w:trPr>
          <w:trHeight w:val="301"/>
        </w:trPr>
        <w:tc>
          <w:tcPr>
            <w:tcW w:w="7759" w:type="dxa"/>
            <w:shd w:val="clear" w:color="auto" w:fill="DDD9C3" w:themeFill="background2" w:themeFillShade="E6"/>
          </w:tcPr>
          <w:p w14:paraId="7AE4D9C5" w14:textId="77777777" w:rsidR="00F466AF" w:rsidRPr="00F466AF" w:rsidRDefault="00F466AF" w:rsidP="00F466AF">
            <w:pPr>
              <w:pStyle w:val="NoSpacing"/>
              <w:rPr>
                <w:b/>
                <w:sz w:val="22"/>
              </w:rPr>
            </w:pPr>
            <w:r w:rsidRPr="00F466AF">
              <w:rPr>
                <w:b/>
                <w:sz w:val="22"/>
              </w:rPr>
              <w:t>Coordinated Entry Section pertaining to Street Outreach</w:t>
            </w:r>
          </w:p>
        </w:tc>
        <w:tc>
          <w:tcPr>
            <w:tcW w:w="529" w:type="dxa"/>
            <w:shd w:val="clear" w:color="auto" w:fill="DDD9C3" w:themeFill="background2" w:themeFillShade="E6"/>
          </w:tcPr>
          <w:p w14:paraId="3883451D" w14:textId="77777777" w:rsidR="00F466AF" w:rsidRPr="00ED1B9C" w:rsidRDefault="00F466AF">
            <w:pPr>
              <w:rPr>
                <w:rFonts w:asciiTheme="minorHAnsi" w:hAnsiTheme="minorHAnsi"/>
                <w:sz w:val="20"/>
                <w:szCs w:val="20"/>
              </w:rPr>
            </w:pPr>
          </w:p>
        </w:tc>
        <w:tc>
          <w:tcPr>
            <w:tcW w:w="538" w:type="dxa"/>
            <w:shd w:val="clear" w:color="auto" w:fill="DDD9C3" w:themeFill="background2" w:themeFillShade="E6"/>
          </w:tcPr>
          <w:p w14:paraId="1EFF4EC4" w14:textId="77777777" w:rsidR="00F466AF" w:rsidRPr="00ED1B9C" w:rsidRDefault="00F466AF">
            <w:pPr>
              <w:rPr>
                <w:rFonts w:asciiTheme="minorHAnsi" w:hAnsiTheme="minorHAnsi"/>
                <w:sz w:val="20"/>
                <w:szCs w:val="20"/>
              </w:rPr>
            </w:pPr>
          </w:p>
        </w:tc>
        <w:tc>
          <w:tcPr>
            <w:tcW w:w="2329" w:type="dxa"/>
            <w:shd w:val="clear" w:color="auto" w:fill="DDD9C3" w:themeFill="background2" w:themeFillShade="E6"/>
          </w:tcPr>
          <w:p w14:paraId="437D77E4" w14:textId="77777777" w:rsidR="00F466AF" w:rsidRPr="00ED1B9C" w:rsidRDefault="00F466AF">
            <w:pPr>
              <w:rPr>
                <w:rFonts w:asciiTheme="minorHAnsi" w:hAnsiTheme="minorHAnsi"/>
                <w:sz w:val="20"/>
                <w:szCs w:val="20"/>
              </w:rPr>
            </w:pPr>
          </w:p>
        </w:tc>
      </w:tr>
      <w:tr w:rsidR="00F466AF" w:rsidRPr="00ED1B9C" w14:paraId="4BFA0098" w14:textId="77777777" w:rsidTr="002F5E2E">
        <w:trPr>
          <w:trHeight w:val="301"/>
        </w:trPr>
        <w:tc>
          <w:tcPr>
            <w:tcW w:w="7759" w:type="dxa"/>
          </w:tcPr>
          <w:p w14:paraId="5B3C2B4B" w14:textId="400200A9" w:rsidR="00F466AF" w:rsidRPr="00F466AF" w:rsidRDefault="001A2A75" w:rsidP="00F466AF">
            <w:pPr>
              <w:pStyle w:val="NoSpacing"/>
              <w:numPr>
                <w:ilvl w:val="0"/>
                <w:numId w:val="17"/>
              </w:numPr>
              <w:rPr>
                <w:sz w:val="22"/>
              </w:rPr>
            </w:pPr>
            <w:r>
              <w:rPr>
                <w:sz w:val="22"/>
              </w:rPr>
              <w:t>Street Outreach staff serving as Coordinated Entry mobile assessment hubs will complete the full Tier 2 assessment with clients who are invited to do so.</w:t>
            </w:r>
          </w:p>
        </w:tc>
        <w:tc>
          <w:tcPr>
            <w:tcW w:w="529" w:type="dxa"/>
          </w:tcPr>
          <w:p w14:paraId="2E55D029" w14:textId="77777777" w:rsidR="00F466AF" w:rsidRPr="00ED1B9C" w:rsidRDefault="00F466AF">
            <w:pPr>
              <w:rPr>
                <w:rFonts w:asciiTheme="minorHAnsi" w:hAnsiTheme="minorHAnsi"/>
                <w:sz w:val="20"/>
                <w:szCs w:val="20"/>
              </w:rPr>
            </w:pPr>
          </w:p>
        </w:tc>
        <w:tc>
          <w:tcPr>
            <w:tcW w:w="538" w:type="dxa"/>
          </w:tcPr>
          <w:p w14:paraId="2D1F8EA9" w14:textId="77777777" w:rsidR="00F466AF" w:rsidRPr="00ED1B9C" w:rsidRDefault="00F466AF">
            <w:pPr>
              <w:rPr>
                <w:rFonts w:asciiTheme="minorHAnsi" w:hAnsiTheme="minorHAnsi"/>
                <w:sz w:val="20"/>
                <w:szCs w:val="20"/>
              </w:rPr>
            </w:pPr>
          </w:p>
        </w:tc>
        <w:tc>
          <w:tcPr>
            <w:tcW w:w="2329" w:type="dxa"/>
          </w:tcPr>
          <w:p w14:paraId="2EB0B419" w14:textId="77777777" w:rsidR="00F466AF" w:rsidRPr="00ED1B9C" w:rsidRDefault="00F466AF">
            <w:pPr>
              <w:rPr>
                <w:rFonts w:asciiTheme="minorHAnsi" w:hAnsiTheme="minorHAnsi"/>
                <w:sz w:val="20"/>
                <w:szCs w:val="20"/>
              </w:rPr>
            </w:pPr>
          </w:p>
        </w:tc>
      </w:tr>
      <w:tr w:rsidR="00F466AF" w:rsidRPr="00ED1B9C" w14:paraId="798619C6" w14:textId="77777777" w:rsidTr="002F5E2E">
        <w:trPr>
          <w:trHeight w:val="301"/>
        </w:trPr>
        <w:tc>
          <w:tcPr>
            <w:tcW w:w="7759" w:type="dxa"/>
          </w:tcPr>
          <w:p w14:paraId="50F59512" w14:textId="00490A7C" w:rsidR="00F466AF" w:rsidRPr="00883215" w:rsidRDefault="001A2A75" w:rsidP="00F466AF">
            <w:pPr>
              <w:pStyle w:val="NoSpacing"/>
              <w:numPr>
                <w:ilvl w:val="0"/>
                <w:numId w:val="17"/>
              </w:numPr>
              <w:rPr>
                <w:sz w:val="22"/>
                <w:szCs w:val="22"/>
              </w:rPr>
            </w:pPr>
            <w:r>
              <w:rPr>
                <w:sz w:val="22"/>
                <w:szCs w:val="22"/>
              </w:rPr>
              <w:t xml:space="preserve">If a household declines to complete the Tier 2 assessment, staff must continue to engage with them. </w:t>
            </w:r>
          </w:p>
        </w:tc>
        <w:tc>
          <w:tcPr>
            <w:tcW w:w="529" w:type="dxa"/>
          </w:tcPr>
          <w:p w14:paraId="7864A2CF" w14:textId="77777777" w:rsidR="00F466AF" w:rsidRPr="00ED1B9C" w:rsidRDefault="00F466AF">
            <w:pPr>
              <w:rPr>
                <w:rFonts w:asciiTheme="minorHAnsi" w:hAnsiTheme="minorHAnsi"/>
                <w:sz w:val="20"/>
                <w:szCs w:val="20"/>
              </w:rPr>
            </w:pPr>
          </w:p>
        </w:tc>
        <w:tc>
          <w:tcPr>
            <w:tcW w:w="538" w:type="dxa"/>
          </w:tcPr>
          <w:p w14:paraId="47C6E625" w14:textId="77777777" w:rsidR="00F466AF" w:rsidRPr="00ED1B9C" w:rsidRDefault="00F466AF">
            <w:pPr>
              <w:rPr>
                <w:rFonts w:asciiTheme="minorHAnsi" w:hAnsiTheme="minorHAnsi"/>
                <w:sz w:val="20"/>
                <w:szCs w:val="20"/>
              </w:rPr>
            </w:pPr>
          </w:p>
        </w:tc>
        <w:tc>
          <w:tcPr>
            <w:tcW w:w="2329" w:type="dxa"/>
          </w:tcPr>
          <w:p w14:paraId="3477F887" w14:textId="77777777" w:rsidR="00F466AF" w:rsidRPr="00ED1B9C" w:rsidRDefault="00F466AF">
            <w:pPr>
              <w:rPr>
                <w:rFonts w:asciiTheme="minorHAnsi" w:hAnsiTheme="minorHAnsi"/>
                <w:sz w:val="20"/>
                <w:szCs w:val="20"/>
              </w:rPr>
            </w:pPr>
          </w:p>
        </w:tc>
      </w:tr>
      <w:tr w:rsidR="001A2A75" w:rsidRPr="00ED1B9C" w14:paraId="2B4E8C11" w14:textId="77777777" w:rsidTr="002F5E2E">
        <w:trPr>
          <w:trHeight w:val="301"/>
        </w:trPr>
        <w:tc>
          <w:tcPr>
            <w:tcW w:w="7759" w:type="dxa"/>
          </w:tcPr>
          <w:p w14:paraId="6C4292B1" w14:textId="7F603473" w:rsidR="001A2A75" w:rsidRDefault="001A2A75" w:rsidP="00F466AF">
            <w:pPr>
              <w:pStyle w:val="NoSpacing"/>
              <w:numPr>
                <w:ilvl w:val="0"/>
                <w:numId w:val="17"/>
              </w:numPr>
              <w:rPr>
                <w:sz w:val="22"/>
                <w:szCs w:val="22"/>
              </w:rPr>
            </w:pPr>
            <w:r>
              <w:rPr>
                <w:sz w:val="22"/>
                <w:szCs w:val="22"/>
              </w:rPr>
              <w:t>Services are accessible to individuals with Limited English Proficiency. When an individual needs services in a language other than English, every effort will be made to find a qualified person who speaks the needed language. If a qualified person is not available, then a language line will be used to communicate with the individual. Individuals needing language assistance will be served as they present. They will not be asked to wait for services.</w:t>
            </w:r>
          </w:p>
        </w:tc>
        <w:tc>
          <w:tcPr>
            <w:tcW w:w="529" w:type="dxa"/>
          </w:tcPr>
          <w:p w14:paraId="5102717B" w14:textId="77777777" w:rsidR="001A2A75" w:rsidRPr="00ED1B9C" w:rsidRDefault="001A2A75">
            <w:pPr>
              <w:rPr>
                <w:rFonts w:asciiTheme="minorHAnsi" w:hAnsiTheme="minorHAnsi"/>
                <w:sz w:val="20"/>
                <w:szCs w:val="20"/>
              </w:rPr>
            </w:pPr>
          </w:p>
        </w:tc>
        <w:tc>
          <w:tcPr>
            <w:tcW w:w="538" w:type="dxa"/>
          </w:tcPr>
          <w:p w14:paraId="65C86C26" w14:textId="77777777" w:rsidR="001A2A75" w:rsidRPr="00ED1B9C" w:rsidRDefault="001A2A75">
            <w:pPr>
              <w:rPr>
                <w:rFonts w:asciiTheme="minorHAnsi" w:hAnsiTheme="minorHAnsi"/>
                <w:sz w:val="20"/>
                <w:szCs w:val="20"/>
              </w:rPr>
            </w:pPr>
          </w:p>
        </w:tc>
        <w:tc>
          <w:tcPr>
            <w:tcW w:w="2329" w:type="dxa"/>
          </w:tcPr>
          <w:p w14:paraId="54E9E04B" w14:textId="77777777" w:rsidR="001A2A75" w:rsidRPr="00ED1B9C" w:rsidRDefault="001A2A75">
            <w:pPr>
              <w:rPr>
                <w:rFonts w:asciiTheme="minorHAnsi" w:hAnsiTheme="minorHAnsi"/>
                <w:sz w:val="20"/>
                <w:szCs w:val="20"/>
              </w:rPr>
            </w:pPr>
          </w:p>
        </w:tc>
      </w:tr>
    </w:tbl>
    <w:p w14:paraId="2897ACC1" w14:textId="77777777" w:rsidR="00ED1B9C" w:rsidRDefault="00ED1B9C" w:rsidP="002F5E2E">
      <w:pPr>
        <w:rPr>
          <w:rFonts w:asciiTheme="minorHAnsi" w:hAnsiTheme="minorHAnsi"/>
          <w:sz w:val="20"/>
          <w:szCs w:val="20"/>
        </w:rPr>
      </w:pPr>
    </w:p>
    <w:p w14:paraId="5DCB2A46" w14:textId="77777777" w:rsidR="001F3BD5" w:rsidRDefault="001F3BD5" w:rsidP="001F3BD5">
      <w:pPr>
        <w:rPr>
          <w:rFonts w:asciiTheme="minorHAnsi" w:hAnsiTheme="minorHAnsi"/>
          <w:sz w:val="20"/>
          <w:szCs w:val="20"/>
        </w:rPr>
      </w:pPr>
      <w:r>
        <w:rPr>
          <w:rFonts w:asciiTheme="minorHAnsi" w:hAnsiTheme="minorHAnsi"/>
          <w:sz w:val="20"/>
          <w:szCs w:val="20"/>
        </w:rPr>
        <w:t xml:space="preserve">Suggested Updates: </w:t>
      </w:r>
    </w:p>
    <w:p w14:paraId="5621A82E" w14:textId="77777777" w:rsidR="001F3BD5" w:rsidRDefault="001F3BD5" w:rsidP="001F3BD5">
      <w:pPr>
        <w:spacing w:line="480" w:lineRule="auto"/>
        <w:rPr>
          <w:rFonts w:asciiTheme="minorHAnsi" w:hAnsiTheme="minorHAnsi"/>
          <w:sz w:val="20"/>
          <w:szCs w:val="20"/>
        </w:rPr>
      </w:pPr>
      <w:r>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3DC400" w14:textId="77777777" w:rsidR="001F3BD5" w:rsidRPr="00B30318" w:rsidRDefault="001F3BD5" w:rsidP="002F5E2E">
      <w:pPr>
        <w:rPr>
          <w:rFonts w:asciiTheme="minorHAnsi" w:hAnsiTheme="minorHAnsi"/>
          <w:sz w:val="20"/>
          <w:szCs w:val="20"/>
        </w:rPr>
      </w:pPr>
    </w:p>
    <w:sectPr w:rsidR="001F3BD5" w:rsidRPr="00B30318" w:rsidSect="002F5E2E">
      <w:footerReference w:type="default" r:id="rId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D76C3" w14:textId="77777777" w:rsidR="002F5E2E" w:rsidRDefault="002F5E2E" w:rsidP="002F5E2E">
      <w:r>
        <w:separator/>
      </w:r>
    </w:p>
  </w:endnote>
  <w:endnote w:type="continuationSeparator" w:id="0">
    <w:p w14:paraId="761A15F9" w14:textId="77777777" w:rsidR="002F5E2E" w:rsidRDefault="002F5E2E" w:rsidP="002F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355035"/>
      <w:docPartObj>
        <w:docPartGallery w:val="Page Numbers (Bottom of Page)"/>
        <w:docPartUnique/>
      </w:docPartObj>
    </w:sdtPr>
    <w:sdtEndPr>
      <w:rPr>
        <w:noProof/>
      </w:rPr>
    </w:sdtEndPr>
    <w:sdtContent>
      <w:p w14:paraId="1757BF76" w14:textId="77777777" w:rsidR="002F5E2E" w:rsidRDefault="002F5E2E">
        <w:pPr>
          <w:pStyle w:val="Footer"/>
          <w:jc w:val="center"/>
        </w:pPr>
        <w:r>
          <w:fldChar w:fldCharType="begin"/>
        </w:r>
        <w:r>
          <w:instrText xml:space="preserve"> PAGE   \* MERGEFORMAT </w:instrText>
        </w:r>
        <w:r>
          <w:fldChar w:fldCharType="separate"/>
        </w:r>
        <w:r w:rsidR="00EB0E88">
          <w:rPr>
            <w:noProof/>
          </w:rPr>
          <w:t>2</w:t>
        </w:r>
        <w:r>
          <w:rPr>
            <w:noProof/>
          </w:rPr>
          <w:fldChar w:fldCharType="end"/>
        </w:r>
      </w:p>
    </w:sdtContent>
  </w:sdt>
  <w:p w14:paraId="1C58DFF2" w14:textId="39EAF958" w:rsidR="002F5E2E" w:rsidRDefault="001A2A75" w:rsidP="001814C4">
    <w:pPr>
      <w:pStyle w:val="Footer"/>
      <w:jc w:val="right"/>
    </w:pPr>
    <w:r>
      <w:t>4/4/25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47A4C" w14:textId="77777777" w:rsidR="002F5E2E" w:rsidRDefault="002F5E2E" w:rsidP="002F5E2E">
      <w:r>
        <w:separator/>
      </w:r>
    </w:p>
  </w:footnote>
  <w:footnote w:type="continuationSeparator" w:id="0">
    <w:p w14:paraId="40698844" w14:textId="77777777" w:rsidR="002F5E2E" w:rsidRDefault="002F5E2E" w:rsidP="002F5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2BE4"/>
    <w:multiLevelType w:val="hybridMultilevel"/>
    <w:tmpl w:val="7D802BA6"/>
    <w:lvl w:ilvl="0" w:tplc="EE56197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A10E2"/>
    <w:multiLevelType w:val="hybridMultilevel"/>
    <w:tmpl w:val="C6427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A64C3"/>
    <w:multiLevelType w:val="hybridMultilevel"/>
    <w:tmpl w:val="BD785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D3221"/>
    <w:multiLevelType w:val="hybridMultilevel"/>
    <w:tmpl w:val="C7269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A1C54"/>
    <w:multiLevelType w:val="hybridMultilevel"/>
    <w:tmpl w:val="E4BA61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14712A"/>
    <w:multiLevelType w:val="hybridMultilevel"/>
    <w:tmpl w:val="374CC370"/>
    <w:lvl w:ilvl="0" w:tplc="73D084A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9309FD"/>
    <w:multiLevelType w:val="hybridMultilevel"/>
    <w:tmpl w:val="85628826"/>
    <w:lvl w:ilvl="0" w:tplc="914C7A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6F026D"/>
    <w:multiLevelType w:val="hybridMultilevel"/>
    <w:tmpl w:val="98045D2C"/>
    <w:lvl w:ilvl="0" w:tplc="C19E7B1E">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F0145"/>
    <w:multiLevelType w:val="hybridMultilevel"/>
    <w:tmpl w:val="DF5EBF9A"/>
    <w:lvl w:ilvl="0" w:tplc="6AE2F90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B2B57"/>
    <w:multiLevelType w:val="hybridMultilevel"/>
    <w:tmpl w:val="D6503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8B4113"/>
    <w:multiLevelType w:val="hybridMultilevel"/>
    <w:tmpl w:val="004A7A84"/>
    <w:lvl w:ilvl="0" w:tplc="9398B07A">
      <w:start w:val="1"/>
      <w:numFmt w:val="bullet"/>
      <w:lvlText w:val=""/>
      <w:lvlJc w:val="left"/>
      <w:pPr>
        <w:ind w:left="720" w:hanging="360"/>
      </w:pPr>
      <w:rPr>
        <w:rFonts w:ascii="Symbol" w:hAnsi="Symbol" w:hint="default"/>
        <w:sz w:val="22"/>
        <w:szCs w:val="22"/>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00B9F"/>
    <w:multiLevelType w:val="hybridMultilevel"/>
    <w:tmpl w:val="0EA41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615E52"/>
    <w:multiLevelType w:val="hybridMultilevel"/>
    <w:tmpl w:val="2DD8077C"/>
    <w:lvl w:ilvl="0" w:tplc="2AAEBC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C20ADF"/>
    <w:multiLevelType w:val="hybridMultilevel"/>
    <w:tmpl w:val="7F5ED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DB796F"/>
    <w:multiLevelType w:val="hybridMultilevel"/>
    <w:tmpl w:val="B4746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F576F0"/>
    <w:multiLevelType w:val="hybridMultilevel"/>
    <w:tmpl w:val="6B763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A967ED"/>
    <w:multiLevelType w:val="hybridMultilevel"/>
    <w:tmpl w:val="556A3332"/>
    <w:lvl w:ilvl="0" w:tplc="75E433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6FF793E"/>
    <w:multiLevelType w:val="hybridMultilevel"/>
    <w:tmpl w:val="FE5CB1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9A1695E"/>
    <w:multiLevelType w:val="hybridMultilevel"/>
    <w:tmpl w:val="C55A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BB5883"/>
    <w:multiLevelType w:val="hybridMultilevel"/>
    <w:tmpl w:val="C1300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96F46"/>
    <w:multiLevelType w:val="hybridMultilevel"/>
    <w:tmpl w:val="96F48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216794">
    <w:abstractNumId w:val="3"/>
  </w:num>
  <w:num w:numId="2" w16cid:durableId="2103408453">
    <w:abstractNumId w:val="14"/>
  </w:num>
  <w:num w:numId="3" w16cid:durableId="731585747">
    <w:abstractNumId w:val="1"/>
  </w:num>
  <w:num w:numId="4" w16cid:durableId="729185796">
    <w:abstractNumId w:val="7"/>
  </w:num>
  <w:num w:numId="5" w16cid:durableId="300774839">
    <w:abstractNumId w:val="0"/>
  </w:num>
  <w:num w:numId="6" w16cid:durableId="1224288719">
    <w:abstractNumId w:val="16"/>
  </w:num>
  <w:num w:numId="7" w16cid:durableId="2105419533">
    <w:abstractNumId w:val="10"/>
  </w:num>
  <w:num w:numId="8" w16cid:durableId="433209646">
    <w:abstractNumId w:val="19"/>
  </w:num>
  <w:num w:numId="9" w16cid:durableId="1403336660">
    <w:abstractNumId w:val="4"/>
  </w:num>
  <w:num w:numId="10" w16cid:durableId="874924292">
    <w:abstractNumId w:val="18"/>
  </w:num>
  <w:num w:numId="11" w16cid:durableId="951940882">
    <w:abstractNumId w:val="8"/>
  </w:num>
  <w:num w:numId="12" w16cid:durableId="1690526678">
    <w:abstractNumId w:val="20"/>
  </w:num>
  <w:num w:numId="13" w16cid:durableId="1904683140">
    <w:abstractNumId w:val="17"/>
  </w:num>
  <w:num w:numId="14" w16cid:durableId="1009017470">
    <w:abstractNumId w:val="5"/>
  </w:num>
  <w:num w:numId="15" w16cid:durableId="1591812029">
    <w:abstractNumId w:val="15"/>
  </w:num>
  <w:num w:numId="16" w16cid:durableId="989476450">
    <w:abstractNumId w:val="11"/>
  </w:num>
  <w:num w:numId="17" w16cid:durableId="1012924493">
    <w:abstractNumId w:val="13"/>
  </w:num>
  <w:num w:numId="18" w16cid:durableId="1866478861">
    <w:abstractNumId w:val="2"/>
  </w:num>
  <w:num w:numId="19" w16cid:durableId="1573923991">
    <w:abstractNumId w:val="6"/>
  </w:num>
  <w:num w:numId="20" w16cid:durableId="187257117">
    <w:abstractNumId w:val="12"/>
  </w:num>
  <w:num w:numId="21" w16cid:durableId="11841701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A59"/>
    <w:rsid w:val="00074A55"/>
    <w:rsid w:val="001814C4"/>
    <w:rsid w:val="001A2A75"/>
    <w:rsid w:val="001D58CC"/>
    <w:rsid w:val="001F3BD5"/>
    <w:rsid w:val="002135BE"/>
    <w:rsid w:val="0026651D"/>
    <w:rsid w:val="002F5E2E"/>
    <w:rsid w:val="00336D07"/>
    <w:rsid w:val="004214C4"/>
    <w:rsid w:val="0049509C"/>
    <w:rsid w:val="004F7B4B"/>
    <w:rsid w:val="00502FE3"/>
    <w:rsid w:val="00583A59"/>
    <w:rsid w:val="00627A94"/>
    <w:rsid w:val="00725ED6"/>
    <w:rsid w:val="007270FE"/>
    <w:rsid w:val="00780B5D"/>
    <w:rsid w:val="008641FC"/>
    <w:rsid w:val="00883215"/>
    <w:rsid w:val="00915DEF"/>
    <w:rsid w:val="0094340B"/>
    <w:rsid w:val="009D1475"/>
    <w:rsid w:val="00A1055B"/>
    <w:rsid w:val="00A86921"/>
    <w:rsid w:val="00B02DB0"/>
    <w:rsid w:val="00B30318"/>
    <w:rsid w:val="00B728B0"/>
    <w:rsid w:val="00CA0D7B"/>
    <w:rsid w:val="00D10A6F"/>
    <w:rsid w:val="00E06C3A"/>
    <w:rsid w:val="00E41438"/>
    <w:rsid w:val="00E43D95"/>
    <w:rsid w:val="00EB0E88"/>
    <w:rsid w:val="00ED1B9C"/>
    <w:rsid w:val="00EE438F"/>
    <w:rsid w:val="00EF4050"/>
    <w:rsid w:val="00F255CB"/>
    <w:rsid w:val="00F466AF"/>
    <w:rsid w:val="00F91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E7B89"/>
  <w15:chartTrackingRefBased/>
  <w15:docId w15:val="{76BC7F82-DD2E-4E03-ACF5-19436713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A55"/>
    <w:rPr>
      <w:sz w:val="24"/>
      <w:szCs w:val="24"/>
    </w:rPr>
  </w:style>
  <w:style w:type="paragraph" w:styleId="Heading2">
    <w:name w:val="heading 2"/>
    <w:basedOn w:val="Normal"/>
    <w:next w:val="Normal"/>
    <w:link w:val="Heading2Char"/>
    <w:uiPriority w:val="9"/>
    <w:unhideWhenUsed/>
    <w:qFormat/>
    <w:rsid w:val="00B02DB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line="276" w:lineRule="auto"/>
      <w:outlineLvl w:val="1"/>
    </w:pPr>
    <w:rPr>
      <w:rFonts w:asciiTheme="minorHAnsi" w:eastAsiaTheme="minorEastAsia" w:hAnsiTheme="minorHAnsi" w:cstheme="minorBidi"/>
      <w:b/>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1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2FE3"/>
    <w:pPr>
      <w:spacing w:before="100"/>
    </w:pPr>
    <w:rPr>
      <w:rFonts w:asciiTheme="minorHAnsi" w:eastAsiaTheme="minorEastAsia" w:hAnsiTheme="minorHAnsi" w:cstheme="minorBidi"/>
    </w:rPr>
  </w:style>
  <w:style w:type="character" w:customStyle="1" w:styleId="Heading2Char">
    <w:name w:val="Heading 2 Char"/>
    <w:basedOn w:val="DefaultParagraphFont"/>
    <w:link w:val="Heading2"/>
    <w:uiPriority w:val="9"/>
    <w:rsid w:val="00B02DB0"/>
    <w:rPr>
      <w:rFonts w:asciiTheme="minorHAnsi" w:eastAsiaTheme="minorEastAsia" w:hAnsiTheme="minorHAnsi" w:cstheme="minorBidi"/>
      <w:b/>
      <w:caps/>
      <w:spacing w:val="15"/>
      <w:shd w:val="clear" w:color="auto" w:fill="DBE5F1" w:themeFill="accent1" w:themeFillTint="33"/>
    </w:rPr>
  </w:style>
  <w:style w:type="paragraph" w:styleId="ListParagraph">
    <w:name w:val="List Paragraph"/>
    <w:basedOn w:val="Normal"/>
    <w:uiPriority w:val="34"/>
    <w:qFormat/>
    <w:rsid w:val="00D10A6F"/>
    <w:pPr>
      <w:spacing w:before="100" w:after="200" w:line="276" w:lineRule="auto"/>
      <w:ind w:left="720"/>
      <w:contextualSpacing/>
    </w:pPr>
    <w:rPr>
      <w:rFonts w:asciiTheme="minorHAnsi" w:eastAsiaTheme="minorEastAsia" w:hAnsiTheme="minorHAnsi" w:cstheme="minorBidi"/>
      <w:sz w:val="20"/>
      <w:szCs w:val="20"/>
    </w:rPr>
  </w:style>
  <w:style w:type="paragraph" w:styleId="Header">
    <w:name w:val="header"/>
    <w:basedOn w:val="Normal"/>
    <w:link w:val="HeaderChar"/>
    <w:uiPriority w:val="99"/>
    <w:unhideWhenUsed/>
    <w:rsid w:val="002F5E2E"/>
    <w:pPr>
      <w:tabs>
        <w:tab w:val="center" w:pos="4680"/>
        <w:tab w:val="right" w:pos="9360"/>
      </w:tabs>
    </w:pPr>
  </w:style>
  <w:style w:type="character" w:customStyle="1" w:styleId="HeaderChar">
    <w:name w:val="Header Char"/>
    <w:basedOn w:val="DefaultParagraphFont"/>
    <w:link w:val="Header"/>
    <w:uiPriority w:val="99"/>
    <w:rsid w:val="002F5E2E"/>
    <w:rPr>
      <w:sz w:val="24"/>
      <w:szCs w:val="24"/>
    </w:rPr>
  </w:style>
  <w:style w:type="paragraph" w:styleId="Footer">
    <w:name w:val="footer"/>
    <w:basedOn w:val="Normal"/>
    <w:link w:val="FooterChar"/>
    <w:uiPriority w:val="99"/>
    <w:unhideWhenUsed/>
    <w:rsid w:val="002F5E2E"/>
    <w:pPr>
      <w:tabs>
        <w:tab w:val="center" w:pos="4680"/>
        <w:tab w:val="right" w:pos="9360"/>
      </w:tabs>
    </w:pPr>
  </w:style>
  <w:style w:type="character" w:customStyle="1" w:styleId="FooterChar">
    <w:name w:val="Footer Char"/>
    <w:basedOn w:val="DefaultParagraphFont"/>
    <w:link w:val="Footer"/>
    <w:uiPriority w:val="99"/>
    <w:rsid w:val="002F5E2E"/>
    <w:rPr>
      <w:sz w:val="24"/>
      <w:szCs w:val="24"/>
    </w:rPr>
  </w:style>
  <w:style w:type="character" w:styleId="Hyperlink">
    <w:name w:val="Hyperlink"/>
    <w:basedOn w:val="DefaultParagraphFont"/>
    <w:uiPriority w:val="99"/>
    <w:unhideWhenUsed/>
    <w:rsid w:val="00336D07"/>
    <w:rPr>
      <w:color w:val="0000FF" w:themeColor="hyperlink"/>
      <w:u w:val="single"/>
    </w:rPr>
  </w:style>
  <w:style w:type="character" w:styleId="UnresolvedMention">
    <w:name w:val="Unresolved Mention"/>
    <w:basedOn w:val="DefaultParagraphFont"/>
    <w:uiPriority w:val="99"/>
    <w:semiHidden/>
    <w:unhideWhenUsed/>
    <w:rsid w:val="00336D07"/>
    <w:rPr>
      <w:color w:val="605E5C"/>
      <w:shd w:val="clear" w:color="auto" w:fill="E1DFDD"/>
    </w:rPr>
  </w:style>
  <w:style w:type="character" w:styleId="FollowedHyperlink">
    <w:name w:val="FollowedHyperlink"/>
    <w:basedOn w:val="DefaultParagraphFont"/>
    <w:uiPriority w:val="99"/>
    <w:semiHidden/>
    <w:unhideWhenUsed/>
    <w:rsid w:val="001A2A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96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udexchange.info/resource/4447/esg-program-hmis-manu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556</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cdsl</dc:creator>
  <cp:keywords/>
  <dc:description/>
  <cp:lastModifiedBy>Kopp Mueller, Torrie</cp:lastModifiedBy>
  <cp:revision>13</cp:revision>
  <dcterms:created xsi:type="dcterms:W3CDTF">2018-11-01T16:02:00Z</dcterms:created>
  <dcterms:modified xsi:type="dcterms:W3CDTF">2025-04-04T19:37:00Z</dcterms:modified>
</cp:coreProperties>
</file>