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CD" w:rsidRPr="009A4B26" w:rsidRDefault="00971445">
      <w:pPr>
        <w:rPr>
          <w:b/>
          <w:sz w:val="28"/>
        </w:rPr>
      </w:pPr>
      <w:r w:rsidRPr="009A4B26">
        <w:rPr>
          <w:b/>
          <w:sz w:val="28"/>
        </w:rPr>
        <w:t xml:space="preserve">Private Sewer Lateral Repair Pavement Restoration </w:t>
      </w:r>
      <w:r w:rsidR="009A3626">
        <w:rPr>
          <w:b/>
          <w:sz w:val="28"/>
        </w:rPr>
        <w:t xml:space="preserve">Pilot </w:t>
      </w:r>
      <w:r w:rsidR="001D589D">
        <w:rPr>
          <w:b/>
          <w:sz w:val="28"/>
        </w:rPr>
        <w:t>Program</w:t>
      </w:r>
    </w:p>
    <w:p w:rsidR="008D64B6" w:rsidRPr="009A4B26" w:rsidRDefault="008D64B6">
      <w:pPr>
        <w:rPr>
          <w:b/>
        </w:rPr>
      </w:pPr>
      <w:r w:rsidRPr="009A4B26">
        <w:rPr>
          <w:b/>
        </w:rPr>
        <w:t>Background</w:t>
      </w:r>
    </w:p>
    <w:p w:rsidR="00971445" w:rsidRDefault="00971445">
      <w:r>
        <w:t>Private property owners are responsible for the maintenance and repair of the private sewer lateral serving their property. The private sewer lateral extends from the building to the public main which is typically located in the middle of the street.</w:t>
      </w:r>
    </w:p>
    <w:p w:rsidR="00E903D4" w:rsidRDefault="00154604">
      <w:r>
        <w:t>S</w:t>
      </w:r>
      <w:r w:rsidR="00971445">
        <w:t>ewer warranty coverage is available from private companies</w:t>
      </w:r>
      <w:r>
        <w:t xml:space="preserve"> at a relatively low cost. Coverage limits are </w:t>
      </w:r>
      <w:r w:rsidR="00F63EE2">
        <w:t xml:space="preserve">usually </w:t>
      </w:r>
      <w:r w:rsidR="00971445">
        <w:t>capped</w:t>
      </w:r>
      <w:r>
        <w:t xml:space="preserve"> at $10,500</w:t>
      </w:r>
      <w:r w:rsidR="00F63EE2">
        <w:t>,</w:t>
      </w:r>
      <w:r w:rsidR="008D64B6">
        <w:t xml:space="preserve"> which typically will cover the cost of repair</w:t>
      </w:r>
      <w:r>
        <w:t xml:space="preserve">.  </w:t>
      </w:r>
      <w:r w:rsidR="00F63EE2">
        <w:t>However, r</w:t>
      </w:r>
      <w:r>
        <w:t>epair costs in excess of this cap can</w:t>
      </w:r>
      <w:r w:rsidR="008D64B6">
        <w:t xml:space="preserve"> </w:t>
      </w:r>
      <w:r>
        <w:t xml:space="preserve">occur when excavation </w:t>
      </w:r>
      <w:r w:rsidR="008D64B6">
        <w:t xml:space="preserve">is required </w:t>
      </w:r>
      <w:r>
        <w:t xml:space="preserve">in an arterial street or a street with a pavement condition rating greater than six (6). </w:t>
      </w:r>
      <w:r w:rsidR="008D64B6">
        <w:t xml:space="preserve"> The higher cost for </w:t>
      </w:r>
      <w:r w:rsidR="00F63EE2">
        <w:t xml:space="preserve">such excavations </w:t>
      </w:r>
      <w:r w:rsidR="008D64B6">
        <w:t xml:space="preserve">is due to the City’s patching criteria which is intended </w:t>
      </w:r>
      <w:r w:rsidR="006760C9">
        <w:t>to preserve pavement life. This</w:t>
      </w:r>
      <w:r w:rsidR="001D589D">
        <w:t xml:space="preserve"> program </w:t>
      </w:r>
      <w:r w:rsidR="008D64B6">
        <w:t xml:space="preserve">is intended to mitigate the impact of this requirement on </w:t>
      </w:r>
      <w:r w:rsidR="00F63EE2">
        <w:t xml:space="preserve">these </w:t>
      </w:r>
      <w:r w:rsidR="008D64B6">
        <w:t xml:space="preserve">property owners.  </w:t>
      </w:r>
    </w:p>
    <w:p w:rsidR="006760C9" w:rsidRDefault="001D589D">
      <w:pPr>
        <w:rPr>
          <w:b/>
        </w:rPr>
      </w:pPr>
      <w:bookmarkStart w:id="0" w:name="_GoBack"/>
      <w:bookmarkEnd w:id="0"/>
      <w:r>
        <w:rPr>
          <w:b/>
        </w:rPr>
        <w:t>Program</w:t>
      </w:r>
    </w:p>
    <w:p w:rsidR="009A4B26" w:rsidRDefault="00E903D4">
      <w:r>
        <w:t xml:space="preserve">For private sewer lateral repairs requiring excavation in an arterial street or a street with a pavement condition rating greater than six (6) </w:t>
      </w:r>
      <w:r w:rsidR="009A4B26">
        <w:rPr>
          <w:u w:val="single"/>
        </w:rPr>
        <w:t xml:space="preserve">and </w:t>
      </w:r>
      <w:r w:rsidR="009A4B26">
        <w:t xml:space="preserve">where the cost of such repair exceeds </w:t>
      </w:r>
      <w:r w:rsidR="00F63EE2">
        <w:t xml:space="preserve">the greater of either the property owner’s private sewer warranty coverage or </w:t>
      </w:r>
      <w:r w:rsidR="009A4B26">
        <w:t>$10,500</w:t>
      </w:r>
      <w:r w:rsidR="00F63EE2">
        <w:t xml:space="preserve"> (the “</w:t>
      </w:r>
      <w:r w:rsidR="00733977">
        <w:t xml:space="preserve">coverage </w:t>
      </w:r>
      <w:r w:rsidR="00F63EE2">
        <w:t>cap”),</w:t>
      </w:r>
      <w:r w:rsidR="009A4B26">
        <w:t xml:space="preserve"> </w:t>
      </w:r>
      <w:r w:rsidR="00653CC7">
        <w:t xml:space="preserve">the City, at the property owner’s request, </w:t>
      </w:r>
      <w:r>
        <w:t xml:space="preserve">shall </w:t>
      </w:r>
      <w:r w:rsidR="009A4B26">
        <w:t xml:space="preserve">include the required pavement patching in an annual Public Works Resurfacing contract. The property owner will be responsible for the </w:t>
      </w:r>
      <w:r w:rsidR="00F63EE2">
        <w:t xml:space="preserve">costs of the sewer lateral repair </w:t>
      </w:r>
      <w:r w:rsidR="00733977">
        <w:t xml:space="preserve">up to the coverage cap and for paying the costs </w:t>
      </w:r>
      <w:r w:rsidR="00F63EE2">
        <w:t xml:space="preserve">that exceed the </w:t>
      </w:r>
      <w:r w:rsidR="00733977">
        <w:t xml:space="preserve">coverage </w:t>
      </w:r>
      <w:r w:rsidR="00F63EE2">
        <w:t xml:space="preserve">cap, other than pavement restoration costs.  </w:t>
      </w:r>
      <w:r w:rsidR="009A4B26">
        <w:t xml:space="preserve">The City will pay for </w:t>
      </w:r>
      <w:r w:rsidR="00F63EE2">
        <w:t xml:space="preserve">the </w:t>
      </w:r>
      <w:r w:rsidR="009A4B26">
        <w:t xml:space="preserve">pavement restoration </w:t>
      </w:r>
      <w:r w:rsidR="00F63EE2">
        <w:t xml:space="preserve">costs </w:t>
      </w:r>
      <w:r w:rsidR="009A4B26">
        <w:t xml:space="preserve">in excess of </w:t>
      </w:r>
      <w:r w:rsidR="00733977">
        <w:t>the coverage cap</w:t>
      </w:r>
      <w:r w:rsidR="009A4B26">
        <w:t xml:space="preserve">. </w:t>
      </w:r>
    </w:p>
    <w:p w:rsidR="00733977" w:rsidRDefault="009A4B26">
      <w:r>
        <w:t xml:space="preserve">Property owners who </w:t>
      </w:r>
      <w:r w:rsidR="00154604">
        <w:t>decline</w:t>
      </w:r>
      <w:r>
        <w:t>d</w:t>
      </w:r>
      <w:r w:rsidR="00154604">
        <w:t xml:space="preserve"> having the portion of their </w:t>
      </w:r>
      <w:r>
        <w:t xml:space="preserve">private sanitary </w:t>
      </w:r>
      <w:r w:rsidR="00154604">
        <w:t>lateral located in the public right-of-way replaced at the time of street reco</w:t>
      </w:r>
      <w:r>
        <w:t>nstruction shall not be eligible for this program</w:t>
      </w:r>
      <w:r w:rsidR="00997117">
        <w:t xml:space="preserve"> for 25 years following reconstruction of the laterals in the street.</w:t>
      </w:r>
      <w:r w:rsidR="00CB5632">
        <w:t xml:space="preserve"> </w:t>
      </w:r>
      <w:r w:rsidR="00327CED">
        <w:t xml:space="preserve"> </w:t>
      </w:r>
      <w:r w:rsidR="00340D5A">
        <w:t>Assuming a total cost to repair of $15,000, with $2,000 attributable to pavement repair, the following are e</w:t>
      </w:r>
      <w:r w:rsidR="00733977">
        <w:t>xamples</w:t>
      </w:r>
      <w:r w:rsidR="00340D5A">
        <w:t xml:space="preserve"> of how this </w:t>
      </w:r>
      <w:r w:rsidR="001D589D">
        <w:t xml:space="preserve">program </w:t>
      </w:r>
      <w:r w:rsidR="00340D5A">
        <w:t>will work</w:t>
      </w:r>
      <w:r w:rsidR="00733977">
        <w:t>:</w:t>
      </w:r>
    </w:p>
    <w:tbl>
      <w:tblPr>
        <w:tblStyle w:val="TableGrid"/>
        <w:tblW w:w="0" w:type="auto"/>
        <w:jc w:val="center"/>
        <w:tblLook w:val="04A0" w:firstRow="1" w:lastRow="0" w:firstColumn="1" w:lastColumn="0" w:noHBand="0" w:noVBand="1"/>
      </w:tblPr>
      <w:tblGrid>
        <w:gridCol w:w="1975"/>
        <w:gridCol w:w="1530"/>
        <w:gridCol w:w="1530"/>
        <w:gridCol w:w="1170"/>
      </w:tblGrid>
      <w:tr w:rsidR="00340D5A" w:rsidTr="000547E0">
        <w:trPr>
          <w:jc w:val="center"/>
        </w:trPr>
        <w:tc>
          <w:tcPr>
            <w:tcW w:w="1975" w:type="dxa"/>
          </w:tcPr>
          <w:p w:rsidR="00340D5A" w:rsidRDefault="00340D5A" w:rsidP="000547E0">
            <w:pPr>
              <w:jc w:val="center"/>
            </w:pPr>
            <w:r>
              <w:t>Warranty Coverage</w:t>
            </w:r>
          </w:p>
        </w:tc>
        <w:tc>
          <w:tcPr>
            <w:tcW w:w="1530" w:type="dxa"/>
          </w:tcPr>
          <w:p w:rsidR="00340D5A" w:rsidRDefault="00340D5A" w:rsidP="000547E0">
            <w:pPr>
              <w:jc w:val="center"/>
            </w:pPr>
            <w:r>
              <w:t>Coverage Cap</w:t>
            </w:r>
          </w:p>
        </w:tc>
        <w:tc>
          <w:tcPr>
            <w:tcW w:w="1530" w:type="dxa"/>
          </w:tcPr>
          <w:p w:rsidR="00340D5A" w:rsidRDefault="00340D5A" w:rsidP="000547E0">
            <w:pPr>
              <w:jc w:val="center"/>
            </w:pPr>
            <w:r>
              <w:t>Owner Share</w:t>
            </w:r>
          </w:p>
        </w:tc>
        <w:tc>
          <w:tcPr>
            <w:tcW w:w="1170" w:type="dxa"/>
          </w:tcPr>
          <w:p w:rsidR="00340D5A" w:rsidRDefault="00340D5A" w:rsidP="000547E0">
            <w:pPr>
              <w:jc w:val="center"/>
            </w:pPr>
            <w:r>
              <w:t>City Share</w:t>
            </w:r>
          </w:p>
        </w:tc>
      </w:tr>
      <w:tr w:rsidR="00340D5A" w:rsidTr="000547E0">
        <w:trPr>
          <w:jc w:val="center"/>
        </w:trPr>
        <w:tc>
          <w:tcPr>
            <w:tcW w:w="1975" w:type="dxa"/>
          </w:tcPr>
          <w:p w:rsidR="00340D5A" w:rsidRDefault="00340D5A" w:rsidP="000547E0">
            <w:pPr>
              <w:jc w:val="center"/>
            </w:pPr>
            <w:r>
              <w:t>None</w:t>
            </w:r>
          </w:p>
        </w:tc>
        <w:tc>
          <w:tcPr>
            <w:tcW w:w="1530" w:type="dxa"/>
          </w:tcPr>
          <w:p w:rsidR="00340D5A" w:rsidRDefault="00340D5A" w:rsidP="000547E0">
            <w:pPr>
              <w:jc w:val="center"/>
            </w:pPr>
            <w:r>
              <w:t>$10,500</w:t>
            </w:r>
          </w:p>
        </w:tc>
        <w:tc>
          <w:tcPr>
            <w:tcW w:w="1530" w:type="dxa"/>
          </w:tcPr>
          <w:p w:rsidR="00340D5A" w:rsidRDefault="00340D5A" w:rsidP="000547E0">
            <w:pPr>
              <w:jc w:val="center"/>
            </w:pPr>
            <w:r>
              <w:t>$13,000</w:t>
            </w:r>
          </w:p>
        </w:tc>
        <w:tc>
          <w:tcPr>
            <w:tcW w:w="1170" w:type="dxa"/>
          </w:tcPr>
          <w:p w:rsidR="00340D5A" w:rsidRDefault="00340D5A" w:rsidP="000547E0">
            <w:pPr>
              <w:jc w:val="center"/>
            </w:pPr>
            <w:r>
              <w:t>$2,000</w:t>
            </w:r>
          </w:p>
        </w:tc>
      </w:tr>
      <w:tr w:rsidR="00340D5A" w:rsidTr="000547E0">
        <w:trPr>
          <w:jc w:val="center"/>
        </w:trPr>
        <w:tc>
          <w:tcPr>
            <w:tcW w:w="1975" w:type="dxa"/>
          </w:tcPr>
          <w:p w:rsidR="00340D5A" w:rsidRDefault="00340D5A" w:rsidP="000547E0">
            <w:pPr>
              <w:jc w:val="center"/>
            </w:pPr>
            <w:r>
              <w:t>$7,500</w:t>
            </w:r>
          </w:p>
        </w:tc>
        <w:tc>
          <w:tcPr>
            <w:tcW w:w="1530" w:type="dxa"/>
          </w:tcPr>
          <w:p w:rsidR="00340D5A" w:rsidRDefault="00340D5A" w:rsidP="000547E0">
            <w:pPr>
              <w:jc w:val="center"/>
            </w:pPr>
            <w:r>
              <w:t>$10,500</w:t>
            </w:r>
          </w:p>
        </w:tc>
        <w:tc>
          <w:tcPr>
            <w:tcW w:w="1530" w:type="dxa"/>
          </w:tcPr>
          <w:p w:rsidR="00340D5A" w:rsidRDefault="00340D5A" w:rsidP="000547E0">
            <w:pPr>
              <w:jc w:val="center"/>
            </w:pPr>
            <w:r>
              <w:t>$5,500</w:t>
            </w:r>
          </w:p>
        </w:tc>
        <w:tc>
          <w:tcPr>
            <w:tcW w:w="1170" w:type="dxa"/>
          </w:tcPr>
          <w:p w:rsidR="00340D5A" w:rsidRDefault="00340D5A" w:rsidP="000547E0">
            <w:pPr>
              <w:jc w:val="center"/>
            </w:pPr>
            <w:r>
              <w:t>$2,000</w:t>
            </w:r>
          </w:p>
        </w:tc>
      </w:tr>
      <w:tr w:rsidR="00340D5A" w:rsidTr="000547E0">
        <w:trPr>
          <w:jc w:val="center"/>
        </w:trPr>
        <w:tc>
          <w:tcPr>
            <w:tcW w:w="1975" w:type="dxa"/>
          </w:tcPr>
          <w:p w:rsidR="00340D5A" w:rsidRDefault="00340D5A" w:rsidP="000547E0">
            <w:pPr>
              <w:jc w:val="center"/>
            </w:pPr>
            <w:r>
              <w:t>$10,500</w:t>
            </w:r>
          </w:p>
        </w:tc>
        <w:tc>
          <w:tcPr>
            <w:tcW w:w="1530" w:type="dxa"/>
          </w:tcPr>
          <w:p w:rsidR="00340D5A" w:rsidRDefault="00340D5A" w:rsidP="000547E0">
            <w:pPr>
              <w:jc w:val="center"/>
            </w:pPr>
            <w:r>
              <w:t>$10,500</w:t>
            </w:r>
          </w:p>
        </w:tc>
        <w:tc>
          <w:tcPr>
            <w:tcW w:w="1530" w:type="dxa"/>
          </w:tcPr>
          <w:p w:rsidR="00340D5A" w:rsidRDefault="00340D5A" w:rsidP="000547E0">
            <w:pPr>
              <w:jc w:val="center"/>
            </w:pPr>
            <w:r>
              <w:t>$2,500</w:t>
            </w:r>
          </w:p>
        </w:tc>
        <w:tc>
          <w:tcPr>
            <w:tcW w:w="1170" w:type="dxa"/>
          </w:tcPr>
          <w:p w:rsidR="00340D5A" w:rsidRDefault="00340D5A" w:rsidP="000547E0">
            <w:pPr>
              <w:jc w:val="center"/>
            </w:pPr>
            <w:r>
              <w:t>$2,000</w:t>
            </w:r>
          </w:p>
        </w:tc>
      </w:tr>
      <w:tr w:rsidR="00340D5A" w:rsidTr="000547E0">
        <w:trPr>
          <w:jc w:val="center"/>
        </w:trPr>
        <w:tc>
          <w:tcPr>
            <w:tcW w:w="1975" w:type="dxa"/>
          </w:tcPr>
          <w:p w:rsidR="00340D5A" w:rsidRDefault="00340D5A" w:rsidP="000547E0">
            <w:pPr>
              <w:jc w:val="center"/>
            </w:pPr>
            <w:r>
              <w:t>$14,000</w:t>
            </w:r>
          </w:p>
        </w:tc>
        <w:tc>
          <w:tcPr>
            <w:tcW w:w="1530" w:type="dxa"/>
          </w:tcPr>
          <w:p w:rsidR="00340D5A" w:rsidRDefault="00340D5A" w:rsidP="000547E0">
            <w:pPr>
              <w:jc w:val="center"/>
            </w:pPr>
            <w:r>
              <w:t>$14,000</w:t>
            </w:r>
          </w:p>
        </w:tc>
        <w:tc>
          <w:tcPr>
            <w:tcW w:w="1530" w:type="dxa"/>
          </w:tcPr>
          <w:p w:rsidR="00340D5A" w:rsidRDefault="00340D5A" w:rsidP="000547E0">
            <w:pPr>
              <w:jc w:val="center"/>
            </w:pPr>
            <w:r>
              <w:t>$0</w:t>
            </w:r>
          </w:p>
        </w:tc>
        <w:tc>
          <w:tcPr>
            <w:tcW w:w="1170" w:type="dxa"/>
          </w:tcPr>
          <w:p w:rsidR="00340D5A" w:rsidRDefault="00340D5A" w:rsidP="000547E0">
            <w:pPr>
              <w:jc w:val="center"/>
            </w:pPr>
            <w:r>
              <w:t>$1,000</w:t>
            </w:r>
          </w:p>
        </w:tc>
      </w:tr>
    </w:tbl>
    <w:p w:rsidR="00733977" w:rsidRDefault="00733977"/>
    <w:p w:rsidR="00635402" w:rsidRDefault="00635402" w:rsidP="00635402">
      <w:pPr>
        <w:rPr>
          <w:b/>
        </w:rPr>
      </w:pPr>
      <w:r w:rsidRPr="006760C9">
        <w:rPr>
          <w:b/>
        </w:rPr>
        <w:t>Eligibility:</w:t>
      </w:r>
    </w:p>
    <w:p w:rsidR="00635402" w:rsidRDefault="00635402" w:rsidP="00635402">
      <w:r>
        <w:t xml:space="preserve">Eligible properties for this program is limited to single and two family homes. </w:t>
      </w:r>
      <w:r w:rsidR="00575C64">
        <w:t xml:space="preserve"> </w:t>
      </w:r>
    </w:p>
    <w:p w:rsidR="00BD3FBC" w:rsidRDefault="00BD3FBC" w:rsidP="00CB5632">
      <w:pPr>
        <w:rPr>
          <w:b/>
        </w:rPr>
      </w:pPr>
    </w:p>
    <w:p w:rsidR="00BD3FBC" w:rsidRDefault="00BD3FBC" w:rsidP="00CB5632">
      <w:pPr>
        <w:rPr>
          <w:b/>
        </w:rPr>
      </w:pPr>
    </w:p>
    <w:p w:rsidR="00BD3FBC" w:rsidRDefault="00BD3FBC" w:rsidP="00CB5632">
      <w:pPr>
        <w:rPr>
          <w:b/>
        </w:rPr>
      </w:pPr>
    </w:p>
    <w:p w:rsidR="00971445" w:rsidRDefault="00971445"/>
    <w:sectPr w:rsidR="00971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45"/>
    <w:rsid w:val="000547E0"/>
    <w:rsid w:val="000D0483"/>
    <w:rsid w:val="00154604"/>
    <w:rsid w:val="00193521"/>
    <w:rsid w:val="001D589D"/>
    <w:rsid w:val="00327CED"/>
    <w:rsid w:val="00340D5A"/>
    <w:rsid w:val="00575C64"/>
    <w:rsid w:val="00635402"/>
    <w:rsid w:val="00653CC7"/>
    <w:rsid w:val="006760C9"/>
    <w:rsid w:val="006D7DDE"/>
    <w:rsid w:val="00733977"/>
    <w:rsid w:val="008D64B6"/>
    <w:rsid w:val="00971445"/>
    <w:rsid w:val="00997117"/>
    <w:rsid w:val="009A3626"/>
    <w:rsid w:val="009A4B26"/>
    <w:rsid w:val="00BD3FBC"/>
    <w:rsid w:val="00C3738A"/>
    <w:rsid w:val="00C954CD"/>
    <w:rsid w:val="00CB5632"/>
    <w:rsid w:val="00E903D4"/>
    <w:rsid w:val="00F6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C808"/>
  <w15:chartTrackingRefBased/>
  <w15:docId w15:val="{ACC0DFE1-2153-451F-99BA-D82C1D51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Cryan, Kathy</dc:creator>
  <cp:keywords/>
  <dc:description/>
  <cp:lastModifiedBy>Moder, Mark</cp:lastModifiedBy>
  <cp:revision>8</cp:revision>
  <dcterms:created xsi:type="dcterms:W3CDTF">2020-01-14T20:02:00Z</dcterms:created>
  <dcterms:modified xsi:type="dcterms:W3CDTF">2020-01-15T21:43:00Z</dcterms:modified>
</cp:coreProperties>
</file>