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EDC6" w14:textId="165A45E8" w:rsidR="00F148A6" w:rsidRDefault="00F148A6" w:rsidP="007E4563">
      <w:pPr>
        <w:pStyle w:val="NormalWeb"/>
        <w:spacing w:before="240" w:beforeAutospacing="0" w:after="40" w:afterAutospacing="0" w:line="216" w:lineRule="auto"/>
        <w:rPr>
          <w:rFonts w:asciiTheme="minorHAnsi" w:eastAsiaTheme="minorEastAsia" w:hAnsi="Calibri" w:cstheme="minorBidi"/>
          <w:b/>
          <w:bCs/>
          <w:color w:val="404040" w:themeColor="text1" w:themeTint="BF"/>
          <w:kern w:val="24"/>
          <w:sz w:val="38"/>
          <w:szCs w:val="38"/>
        </w:rPr>
      </w:pPr>
      <w:r>
        <w:rPr>
          <w:rFonts w:asciiTheme="minorHAnsi" w:eastAsiaTheme="minorEastAsia" w:hAnsi="Calibri" w:cstheme="minorBidi"/>
          <w:b/>
          <w:bCs/>
          <w:noProof/>
          <w:color w:val="404040" w:themeColor="text1" w:themeTint="BF"/>
          <w:kern w:val="24"/>
          <w:sz w:val="38"/>
          <w:szCs w:val="38"/>
        </w:rPr>
        <w:drawing>
          <wp:anchor distT="0" distB="0" distL="114300" distR="114300" simplePos="0" relativeHeight="251677696" behindDoc="0" locked="0" layoutInCell="1" allowOverlap="1" wp14:anchorId="15D08D04" wp14:editId="09E33CDD">
            <wp:simplePos x="0" y="0"/>
            <wp:positionH relativeFrom="column">
              <wp:posOffset>0</wp:posOffset>
            </wp:positionH>
            <wp:positionV relativeFrom="paragraph">
              <wp:posOffset>219694</wp:posOffset>
            </wp:positionV>
            <wp:extent cx="3810000" cy="317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872969" cy="322747"/>
                    </a:xfrm>
                    <a:prstGeom prst="rect">
                      <a:avLst/>
                    </a:prstGeom>
                  </pic:spPr>
                </pic:pic>
              </a:graphicData>
            </a:graphic>
            <wp14:sizeRelH relativeFrom="margin">
              <wp14:pctWidth>0</wp14:pctWidth>
            </wp14:sizeRelH>
            <wp14:sizeRelV relativeFrom="margin">
              <wp14:pctHeight>0</wp14:pctHeight>
            </wp14:sizeRelV>
          </wp:anchor>
        </w:drawing>
      </w:r>
    </w:p>
    <w:p w14:paraId="00018A52" w14:textId="68918B2C" w:rsidR="00F148A6" w:rsidRDefault="00F148A6" w:rsidP="007E4563">
      <w:pPr>
        <w:pStyle w:val="NormalWeb"/>
        <w:spacing w:before="240" w:beforeAutospacing="0" w:after="40" w:afterAutospacing="0" w:line="216" w:lineRule="auto"/>
        <w:rPr>
          <w:rFonts w:asciiTheme="minorHAnsi" w:eastAsiaTheme="minorEastAsia" w:hAnsi="Calibri" w:cstheme="minorBidi"/>
          <w:b/>
          <w:bCs/>
          <w:color w:val="404040" w:themeColor="text1" w:themeTint="BF"/>
          <w:kern w:val="24"/>
          <w:sz w:val="38"/>
          <w:szCs w:val="38"/>
        </w:rPr>
      </w:pPr>
      <w:r>
        <w:rPr>
          <w:rFonts w:asciiTheme="minorHAnsi" w:eastAsiaTheme="minorEastAsia" w:hAnsi="Calibri" w:cstheme="minorBidi"/>
          <w:b/>
          <w:bCs/>
          <w:color w:val="404040" w:themeColor="text1" w:themeTint="BF"/>
          <w:kern w:val="24"/>
          <w:sz w:val="38"/>
          <w:szCs w:val="38"/>
        </w:rPr>
        <w:t>Prework for Basics of Learning Experience Design (LXD)</w:t>
      </w:r>
    </w:p>
    <w:p w14:paraId="1D1D91CE" w14:textId="20ACF0CF" w:rsidR="007E4563" w:rsidRDefault="00426992" w:rsidP="007E4563">
      <w:pPr>
        <w:pStyle w:val="NormalWeb"/>
        <w:spacing w:before="240" w:beforeAutospacing="0" w:after="40" w:afterAutospacing="0" w:line="216" w:lineRule="auto"/>
      </w:pPr>
      <w:r>
        <w:rPr>
          <w:rFonts w:asciiTheme="minorHAnsi" w:eastAsiaTheme="minorEastAsia" w:hAnsi="Calibri" w:cstheme="minorBidi"/>
          <w:b/>
          <w:bCs/>
          <w:color w:val="404040" w:themeColor="text1" w:themeTint="BF"/>
          <w:kern w:val="24"/>
          <w:sz w:val="38"/>
          <w:szCs w:val="38"/>
        </w:rPr>
        <w:t xml:space="preserve"> </w:t>
      </w:r>
    </w:p>
    <w:p w14:paraId="1D87DF54" w14:textId="5155B131" w:rsidR="009B5FAE" w:rsidRDefault="007904AE" w:rsidP="009B5FAE">
      <w:pPr>
        <w:pStyle w:val="NormalWeb"/>
        <w:spacing w:before="240" w:beforeAutospacing="0" w:after="40" w:afterAutospacing="0" w:line="216" w:lineRule="auto"/>
        <w:rPr>
          <w:rFonts w:asciiTheme="minorHAnsi" w:eastAsiaTheme="minorEastAsia" w:hAnsi="Calibri" w:cstheme="minorBidi"/>
          <w:b/>
          <w:bCs/>
          <w:i/>
          <w:iCs/>
          <w:color w:val="404040" w:themeColor="text1" w:themeTint="BF"/>
          <w:kern w:val="24"/>
          <w:sz w:val="38"/>
          <w:szCs w:val="38"/>
        </w:rPr>
      </w:pPr>
      <w:r>
        <w:rPr>
          <w:rFonts w:asciiTheme="minorHAnsi" w:eastAsiaTheme="minorEastAsia" w:hAnsi="Calibri" w:cstheme="minorBidi"/>
          <w:b/>
          <w:bCs/>
          <w:i/>
          <w:iCs/>
          <w:color w:val="404040" w:themeColor="text1" w:themeTint="BF"/>
          <w:kern w:val="24"/>
          <w:sz w:val="38"/>
          <w:szCs w:val="38"/>
        </w:rPr>
        <w:t>30-45</w:t>
      </w:r>
      <w:r w:rsidR="009B5FAE">
        <w:rPr>
          <w:rFonts w:asciiTheme="minorHAnsi" w:eastAsiaTheme="minorEastAsia" w:hAnsi="Calibri" w:cstheme="minorBidi"/>
          <w:b/>
          <w:bCs/>
          <w:i/>
          <w:iCs/>
          <w:color w:val="404040" w:themeColor="text1" w:themeTint="BF"/>
          <w:kern w:val="24"/>
          <w:sz w:val="38"/>
          <w:szCs w:val="38"/>
        </w:rPr>
        <w:t xml:space="preserve"> min elapsed</w:t>
      </w:r>
    </w:p>
    <w:p w14:paraId="1D4944EA" w14:textId="0CBC1D16" w:rsidR="009B5FAE" w:rsidRDefault="009B5FAE" w:rsidP="009B5FAE">
      <w:pPr>
        <w:pStyle w:val="NormalWeb"/>
        <w:spacing w:before="240" w:beforeAutospacing="0" w:after="40" w:afterAutospacing="0" w:line="216" w:lineRule="auto"/>
      </w:pPr>
      <w:r>
        <w:rPr>
          <w:noProof/>
        </w:rPr>
        <mc:AlternateContent>
          <mc:Choice Requires="wps">
            <w:drawing>
              <wp:anchor distT="0" distB="0" distL="114300" distR="114300" simplePos="0" relativeHeight="251661312" behindDoc="0" locked="0" layoutInCell="1" allowOverlap="1" wp14:anchorId="4416467F" wp14:editId="692D047D">
                <wp:simplePos x="0" y="0"/>
                <wp:positionH relativeFrom="column">
                  <wp:posOffset>0</wp:posOffset>
                </wp:positionH>
                <wp:positionV relativeFrom="paragraph">
                  <wp:posOffset>177414</wp:posOffset>
                </wp:positionV>
                <wp:extent cx="6510131" cy="0"/>
                <wp:effectExtent l="0" t="19050" r="24130" b="19050"/>
                <wp:wrapNone/>
                <wp:docPr id="8" name="Straight Connector 8"/>
                <wp:cNvGraphicFramePr/>
                <a:graphic xmlns:a="http://schemas.openxmlformats.org/drawingml/2006/main">
                  <a:graphicData uri="http://schemas.microsoft.com/office/word/2010/wordprocessingShape">
                    <wps:wsp>
                      <wps:cNvCnPr/>
                      <wps:spPr>
                        <a:xfrm>
                          <a:off x="0" y="0"/>
                          <a:ext cx="6510131" cy="0"/>
                        </a:xfrm>
                        <a:prstGeom prst="line">
                          <a:avLst/>
                        </a:prstGeom>
                        <a:noFill/>
                        <a:ln w="38100" cap="flat" cmpd="sng" algn="ctr">
                          <a:solidFill>
                            <a:srgbClr val="1CADE4">
                              <a:lumMod val="20000"/>
                              <a:lumOff val="80000"/>
                            </a:srgbClr>
                          </a:solidFill>
                          <a:prstDash val="solid"/>
                        </a:ln>
                        <a:effectLst/>
                      </wps:spPr>
                      <wps:bodyPr/>
                    </wps:wsp>
                  </a:graphicData>
                </a:graphic>
              </wp:anchor>
            </w:drawing>
          </mc:Choice>
          <mc:Fallback>
            <w:pict>
              <v:line w14:anchorId="38C618CC"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95pt" to="512.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" strokecolor="#d2effa" strokeweight="3pt"/>
            </w:pict>
          </mc:Fallback>
        </mc:AlternateContent>
      </w:r>
    </w:p>
    <w:p w14:paraId="2B0A2A2C" w14:textId="0B896138" w:rsidR="007904AE" w:rsidRPr="00591749" w:rsidRDefault="004E5B3C" w:rsidP="00E757E6">
      <w:pPr>
        <w:rPr>
          <w:rFonts w:cstheme="minorHAnsi"/>
        </w:rPr>
      </w:pPr>
      <w:r w:rsidRPr="00591749">
        <w:rPr>
          <w:rFonts w:cstheme="minorHAnsi"/>
        </w:rPr>
        <w:t xml:space="preserve">This prework sets up the first of three sessions of the Basics of Learning Experience Design (LXD).  The course supports City of Madison trainers, course facilitators, and instructors in designing learner-centered training and development experiences. </w:t>
      </w:r>
    </w:p>
    <w:p w14:paraId="306360BC" w14:textId="5053E261" w:rsidR="00C8761E" w:rsidRPr="00591749" w:rsidRDefault="004E5C12" w:rsidP="00E757E6">
      <w:pPr>
        <w:rPr>
          <w:rFonts w:cstheme="minorHAnsi"/>
        </w:rPr>
      </w:pPr>
      <w:r w:rsidRPr="00591749">
        <w:rPr>
          <w:rFonts w:cstheme="minorHAnsi"/>
        </w:rPr>
        <w:t>Learning Objectives:</w:t>
      </w:r>
    </w:p>
    <w:p w14:paraId="3D207F07" w14:textId="6C3B3646" w:rsidR="004E5C12" w:rsidRPr="00591749" w:rsidRDefault="004E5C12" w:rsidP="004E5C12">
      <w:pPr>
        <w:pStyle w:val="ListParagraph"/>
        <w:numPr>
          <w:ilvl w:val="0"/>
          <w:numId w:val="35"/>
        </w:numPr>
        <w:rPr>
          <w:rFonts w:cstheme="minorHAnsi"/>
        </w:rPr>
      </w:pPr>
      <w:r w:rsidRPr="00591749">
        <w:rPr>
          <w:rFonts w:cstheme="minorHAnsi"/>
        </w:rPr>
        <w:t>Using the Learning Objective Builder, participants will craft learning objectives that are outcome-oriented, meaningful to learners, and achievable in the allotted time</w:t>
      </w:r>
    </w:p>
    <w:p w14:paraId="369E0767" w14:textId="5017C5EF" w:rsidR="004E5C12" w:rsidRPr="00591749" w:rsidRDefault="004E5C12" w:rsidP="004E5C12">
      <w:pPr>
        <w:pStyle w:val="ListParagraph"/>
        <w:numPr>
          <w:ilvl w:val="0"/>
          <w:numId w:val="35"/>
        </w:numPr>
        <w:rPr>
          <w:rFonts w:cstheme="minorHAnsi"/>
        </w:rPr>
      </w:pPr>
      <w:r w:rsidRPr="00591749">
        <w:rPr>
          <w:rFonts w:cstheme="minorHAnsi"/>
          <w:shd w:val="clear" w:color="auto" w:fill="FFFFFF"/>
        </w:rPr>
        <w:t>Using a Course Map and Module Brainstorming templates, the participant will be able to organize sessions for logical flow of material</w:t>
      </w:r>
    </w:p>
    <w:p w14:paraId="5EABE37C" w14:textId="45995162" w:rsidR="00C8761E" w:rsidRPr="00591749" w:rsidRDefault="004E5C12" w:rsidP="008B1A4C">
      <w:pPr>
        <w:pStyle w:val="ListParagraph"/>
        <w:numPr>
          <w:ilvl w:val="0"/>
          <w:numId w:val="35"/>
        </w:numPr>
        <w:rPr>
          <w:rFonts w:cstheme="minorHAnsi"/>
        </w:rPr>
      </w:pPr>
      <w:r w:rsidRPr="00591749">
        <w:rPr>
          <w:rFonts w:cstheme="minorHAnsi"/>
          <w:shd w:val="clear" w:color="auto" w:fill="FFFFFF"/>
        </w:rPr>
        <w:t>With the use of Lesson Plan and Assignments templates, the participant will construct content, assignments, and collaborative learning elements that meet the needs of their target audiences</w:t>
      </w:r>
    </w:p>
    <w:p w14:paraId="14953E7A" w14:textId="73EC0309" w:rsidR="007E4563" w:rsidRDefault="009B5FAE">
      <w:r>
        <w:rPr>
          <w:noProof/>
        </w:rPr>
        <mc:AlternateContent>
          <mc:Choice Requires="wps">
            <w:drawing>
              <wp:anchor distT="0" distB="0" distL="114300" distR="114300" simplePos="0" relativeHeight="251659264" behindDoc="0" locked="0" layoutInCell="1" allowOverlap="1" wp14:anchorId="11CDEDF7" wp14:editId="6E0E4EB7">
                <wp:simplePos x="0" y="0"/>
                <wp:positionH relativeFrom="column">
                  <wp:posOffset>-39758</wp:posOffset>
                </wp:positionH>
                <wp:positionV relativeFrom="paragraph">
                  <wp:posOffset>154195</wp:posOffset>
                </wp:positionV>
                <wp:extent cx="6510131" cy="0"/>
                <wp:effectExtent l="0" t="19050" r="24130" b="19050"/>
                <wp:wrapNone/>
                <wp:docPr id="6" name="Straight Connector 6"/>
                <wp:cNvGraphicFramePr/>
                <a:graphic xmlns:a="http://schemas.openxmlformats.org/drawingml/2006/main">
                  <a:graphicData uri="http://schemas.microsoft.com/office/word/2010/wordprocessingShape">
                    <wps:wsp>
                      <wps:cNvCnPr/>
                      <wps:spPr>
                        <a:xfrm>
                          <a:off x="0" y="0"/>
                          <a:ext cx="6510131" cy="0"/>
                        </a:xfrm>
                        <a:prstGeom prst="line">
                          <a:avLst/>
                        </a:prstGeom>
                        <a:ln w="38100">
                          <a:solidFill>
                            <a:schemeClr val="accent1">
                              <a:lumMod val="20000"/>
                              <a:lumOff val="8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EEFA83A"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2.15pt" to="509.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" strokecolor="#d1eef9 [660]" strokeweight="3pt"/>
            </w:pict>
          </mc:Fallback>
        </mc:AlternateContent>
      </w:r>
    </w:p>
    <w:p w14:paraId="3C8A7B47" w14:textId="1339F93D" w:rsidR="007E4563" w:rsidRPr="007E4563" w:rsidRDefault="00DA778A" w:rsidP="007E4563">
      <w:pPr>
        <w:rPr>
          <w:b/>
          <w:sz w:val="38"/>
          <w:szCs w:val="38"/>
        </w:rPr>
      </w:pPr>
      <w:r>
        <w:rPr>
          <w:b/>
          <w:sz w:val="38"/>
          <w:szCs w:val="38"/>
        </w:rPr>
        <w:t>Learn &amp; Reflect</w:t>
      </w:r>
    </w:p>
    <w:p w14:paraId="09D728DC" w14:textId="0A276F64" w:rsidR="00DA778A" w:rsidRDefault="00404430" w:rsidP="00DA778A">
      <w:r>
        <w:t>One of the most valuable ways to prepare learners for a virtual course is to “extend the learning” beyond the boundaries of live online or in-person start and end time.  In essence, we ask ourselves as instructors these key questions:</w:t>
      </w:r>
    </w:p>
    <w:p w14:paraId="25E90A26" w14:textId="77B8D773" w:rsidR="00404430" w:rsidRPr="00404430" w:rsidRDefault="00404430" w:rsidP="00DA778A">
      <w:pPr>
        <w:rPr>
          <w:b/>
          <w:sz w:val="24"/>
        </w:rPr>
      </w:pPr>
      <w:r w:rsidRPr="00404430">
        <w:rPr>
          <w:b/>
          <w:sz w:val="24"/>
        </w:rPr>
        <w:t xml:space="preserve">What resources exist that can convey the information I would typically deliver in the session? </w:t>
      </w:r>
    </w:p>
    <w:p w14:paraId="24E66628" w14:textId="03EEA898" w:rsidR="00404430" w:rsidRPr="00404430" w:rsidRDefault="00404430" w:rsidP="00404430">
      <w:pPr>
        <w:pStyle w:val="NoSpacing"/>
      </w:pPr>
      <w:r>
        <w:t xml:space="preserve">We call these resources Learn &amp; Reflect.  You might call them “Prework” or “Prep”.  Regardless of the name you choose, these videos, readings, reflections, and assignments or activities plant the seeds for the learner’s time in the classroom.  This means more time in high-engagement course activity and less time explaining, lecturing, reviewing, and other low-engagement activity.  You pick up more value-added moments in your lesson plan.  And they get the flexibility of deciding when and where to do the learning and reflecting.  Everyone wins. </w:t>
      </w:r>
    </w:p>
    <w:p w14:paraId="0EDB4928" w14:textId="77777777" w:rsidR="00404430" w:rsidRPr="004E5C12" w:rsidRDefault="00404430" w:rsidP="004E5C12"/>
    <w:p w14:paraId="25746E6D" w14:textId="752B113B" w:rsidR="007C7C8E" w:rsidRPr="007C7C8E" w:rsidRDefault="007C7C8E" w:rsidP="00161575">
      <w:pPr>
        <w:tabs>
          <w:tab w:val="left" w:pos="3872"/>
        </w:tabs>
        <w:rPr>
          <w:b/>
          <w:sz w:val="26"/>
          <w:szCs w:val="26"/>
        </w:rPr>
      </w:pPr>
      <w:r>
        <w:rPr>
          <w:b/>
          <w:sz w:val="26"/>
          <w:szCs w:val="26"/>
        </w:rPr>
        <w:t xml:space="preserve">Watch </w:t>
      </w:r>
      <w:r w:rsidRPr="00432131">
        <w:rPr>
          <w:b/>
          <w:i/>
          <w:sz w:val="26"/>
          <w:szCs w:val="26"/>
        </w:rPr>
        <w:t>(5 min)</w:t>
      </w:r>
      <w:r w:rsidR="00161575">
        <w:rPr>
          <w:b/>
          <w:sz w:val="26"/>
          <w:szCs w:val="26"/>
        </w:rPr>
        <w:tab/>
      </w:r>
    </w:p>
    <w:p w14:paraId="608D6223" w14:textId="380BDE18" w:rsidR="00C51D63" w:rsidRDefault="00432131" w:rsidP="007C7C8E">
      <w:hyperlink r:id="rId9" w:history="1">
        <w:r w:rsidR="00C51D63" w:rsidRPr="007904AE">
          <w:rPr>
            <w:rStyle w:val="Hyperlink"/>
          </w:rPr>
          <w:t>This is Learning Experience Design</w:t>
        </w:r>
      </w:hyperlink>
      <w:r w:rsidR="00C51D63">
        <w:t xml:space="preserve"> (Explainer Vid</w:t>
      </w:r>
      <w:r>
        <w:t>eo by Neils Floor</w:t>
      </w:r>
      <w:r w:rsidR="00C51D63">
        <w:t>)</w:t>
      </w:r>
    </w:p>
    <w:p w14:paraId="73F0D730" w14:textId="1AFFC09F" w:rsidR="00404430" w:rsidRDefault="00C51D63" w:rsidP="007904AE">
      <w:pPr>
        <w:pStyle w:val="NoSpacing"/>
      </w:pPr>
      <w:r w:rsidRPr="00C51D63">
        <w:t>Learning comes from experience, that's a fact. But what kind of experience makes you want to learn and helps you achieve your goals? And how do you design such an experience?</w:t>
      </w:r>
    </w:p>
    <w:p w14:paraId="1A72CC10" w14:textId="77777777" w:rsidR="007904AE" w:rsidRDefault="007904AE" w:rsidP="007C7C8E">
      <w:pPr>
        <w:rPr>
          <w:b/>
          <w:sz w:val="26"/>
          <w:szCs w:val="26"/>
        </w:rPr>
      </w:pPr>
    </w:p>
    <w:p w14:paraId="4A719D44" w14:textId="74418089" w:rsidR="007C7C8E" w:rsidRDefault="007C7C8E" w:rsidP="007C7C8E">
      <w:pPr>
        <w:rPr>
          <w:b/>
          <w:sz w:val="26"/>
          <w:szCs w:val="26"/>
        </w:rPr>
      </w:pPr>
      <w:r w:rsidRPr="00626700">
        <w:rPr>
          <w:b/>
          <w:sz w:val="26"/>
          <w:szCs w:val="26"/>
        </w:rPr>
        <w:t>Read</w:t>
      </w:r>
      <w:r w:rsidR="00C51D63">
        <w:rPr>
          <w:b/>
          <w:sz w:val="26"/>
          <w:szCs w:val="26"/>
        </w:rPr>
        <w:t>/Listen</w:t>
      </w:r>
      <w:r w:rsidR="007904AE">
        <w:rPr>
          <w:b/>
          <w:sz w:val="26"/>
          <w:szCs w:val="26"/>
        </w:rPr>
        <w:t xml:space="preserve"> </w:t>
      </w:r>
      <w:r w:rsidR="007904AE" w:rsidRPr="00432131">
        <w:rPr>
          <w:b/>
          <w:i/>
          <w:sz w:val="26"/>
          <w:szCs w:val="26"/>
        </w:rPr>
        <w:t>(10 min)</w:t>
      </w:r>
    </w:p>
    <w:p w14:paraId="2816461C" w14:textId="53191ED6" w:rsidR="00F148A6" w:rsidRDefault="00432131" w:rsidP="00F148A6">
      <w:hyperlink r:id="rId10" w:history="1">
        <w:r w:rsidR="00C51D63" w:rsidRPr="007904AE">
          <w:rPr>
            <w:rStyle w:val="Hyperlink"/>
          </w:rPr>
          <w:t xml:space="preserve">The </w:t>
        </w:r>
        <w:r w:rsidR="00F148A6" w:rsidRPr="007904AE">
          <w:rPr>
            <w:rStyle w:val="Hyperlink"/>
          </w:rPr>
          <w:t>Adul</w:t>
        </w:r>
        <w:r w:rsidR="00C51D63" w:rsidRPr="007904AE">
          <w:rPr>
            <w:rStyle w:val="Hyperlink"/>
          </w:rPr>
          <w:t>t Learning Theory – Andragogy – of Malcolm Knowles</w:t>
        </w:r>
      </w:hyperlink>
      <w:r w:rsidR="00C51D63">
        <w:t xml:space="preserve"> (eLearning Industry blog, available as reading or via audio)</w:t>
      </w:r>
    </w:p>
    <w:p w14:paraId="10923923" w14:textId="13CDDD58" w:rsidR="00432131" w:rsidRDefault="00C51D63" w:rsidP="00F148A6">
      <w:r w:rsidRPr="00C51D63">
        <w:lastRenderedPageBreak/>
        <w:t>What does Andragogy mean and which are Knowles’ 5 assumptions of Adult Learners? Are you familiar with Know</w:t>
      </w:r>
      <w:r w:rsidR="0061069B">
        <w:t>les’ 4 Principles o</w:t>
      </w:r>
      <w:r>
        <w:t xml:space="preserve">f Andragogy? The post provides answers to </w:t>
      </w:r>
      <w:r w:rsidRPr="00C51D63">
        <w:t>above questions and provide</w:t>
      </w:r>
      <w:r>
        <w:t>s</w:t>
      </w:r>
      <w:r w:rsidRPr="00C51D63">
        <w:t xml:space="preserve"> several highly recommended resources on Malcolm Knowles’ Adult Learning Theory.</w:t>
      </w:r>
    </w:p>
    <w:p w14:paraId="5BB125A0" w14:textId="7CF64259" w:rsidR="00432131" w:rsidRDefault="00432131" w:rsidP="00F148A6"/>
    <w:p w14:paraId="1D804383" w14:textId="0E2AA544" w:rsidR="00432131" w:rsidRPr="00432131" w:rsidRDefault="00432131" w:rsidP="00432131">
      <w:pPr>
        <w:rPr>
          <w:b/>
          <w:sz w:val="26"/>
          <w:szCs w:val="26"/>
        </w:rPr>
      </w:pPr>
      <w:r w:rsidRPr="00432131">
        <w:rPr>
          <w:b/>
          <w:sz w:val="26"/>
          <w:szCs w:val="26"/>
        </w:rPr>
        <w:t xml:space="preserve">Read </w:t>
      </w:r>
      <w:r w:rsidRPr="00432131">
        <w:rPr>
          <w:b/>
          <w:i/>
          <w:sz w:val="26"/>
          <w:szCs w:val="26"/>
        </w:rPr>
        <w:t>(10 min)</w:t>
      </w:r>
    </w:p>
    <w:p w14:paraId="0C98C3F4" w14:textId="225B3ED7" w:rsidR="00C51D63" w:rsidRDefault="00F148A6" w:rsidP="00432131">
      <w:r w:rsidRPr="007904AE">
        <w:t>Andragogy in Color</w:t>
      </w:r>
      <w:r w:rsidRPr="00F148A6">
        <w:t xml:space="preserve"> </w:t>
      </w:r>
      <w:r w:rsidR="00C51D63">
        <w:t xml:space="preserve">(Abstract </w:t>
      </w:r>
      <w:r w:rsidR="007904AE">
        <w:t xml:space="preserve">and article by Roberson, D. 2002) </w:t>
      </w:r>
      <w:r w:rsidR="007904AE" w:rsidRPr="00432131">
        <w:rPr>
          <w:i/>
        </w:rPr>
        <w:t>Abstract required</w:t>
      </w:r>
      <w:r w:rsidR="00C51D63" w:rsidRPr="00432131">
        <w:rPr>
          <w:i/>
        </w:rPr>
        <w:t xml:space="preserve">, </w:t>
      </w:r>
      <w:hyperlink r:id="rId11" w:history="1">
        <w:r w:rsidR="00C51D63" w:rsidRPr="00432131">
          <w:rPr>
            <w:rStyle w:val="Hyperlink"/>
            <w:i/>
          </w:rPr>
          <w:t>Full article</w:t>
        </w:r>
      </w:hyperlink>
      <w:r w:rsidR="00C51D63" w:rsidRPr="00432131">
        <w:rPr>
          <w:i/>
        </w:rPr>
        <w:t xml:space="preserve"> is optional</w:t>
      </w:r>
    </w:p>
    <w:p w14:paraId="2D905B25" w14:textId="127AD11F" w:rsidR="00F148A6" w:rsidRPr="00F148A6" w:rsidRDefault="00F148A6" w:rsidP="00432131">
      <w:r w:rsidRPr="00F148A6">
        <w:t>ABSTRACT</w:t>
      </w:r>
      <w:r>
        <w:t>:</w:t>
      </w:r>
      <w:r w:rsidRPr="00F148A6">
        <w:t xml:space="preserve"> Malcolm Knowles' theory of andragogy asserts that adult learners learn differently from younger learners and hence require a different kind of education. According to Knowles, andragogy is characterized by the following hallmarks: adult learners are self-directed, have accumulated vast experiences that add to their knowledge, are at a stage in life where they are ready to learn, engage in problem-centered learning, and are internally motivated. Andragogy not only captures the beginning of the adult education movement but also provides a perspective that is timeless and applies to adult education in a multicultural world. Several aspects of andragogy have nevertheless been contested. Some have suggested that Knowles' concept of andragogy reflects a white, male, Western orientation on life and learning rather than the individual webs of cultural significance and have challenged adult educators to move beyond the separatist ideas of andragogy and incorporate culturally responsive teaching in a culturally plural world. The following are among the actions that critics of Knowles' theory of andragogy have advised adult educators to take: (1) incorporate issues of diversity and culture into ways of knowing; (2) move beyond the family and focus on the social, economic, and political system of the learner's world; and (3) emphasize indigenous education. </w:t>
      </w:r>
    </w:p>
    <w:p w14:paraId="13C47C91" w14:textId="77777777" w:rsidR="00591749" w:rsidRDefault="00591749" w:rsidP="008A0977">
      <w:pPr>
        <w:pStyle w:val="NoSpacing"/>
        <w:rPr>
          <w:b/>
          <w:sz w:val="26"/>
          <w:szCs w:val="26"/>
        </w:rPr>
      </w:pPr>
    </w:p>
    <w:p w14:paraId="6EFF0478" w14:textId="6A1DC968" w:rsidR="007C7C8E" w:rsidRPr="008A0977" w:rsidRDefault="007C7C8E" w:rsidP="008A0977">
      <w:pPr>
        <w:pStyle w:val="NoSpacing"/>
        <w:rPr>
          <w:b/>
          <w:sz w:val="26"/>
          <w:szCs w:val="26"/>
        </w:rPr>
      </w:pPr>
      <w:r w:rsidRPr="008A0977">
        <w:rPr>
          <w:b/>
          <w:sz w:val="26"/>
          <w:szCs w:val="26"/>
        </w:rPr>
        <w:t>Reflect (</w:t>
      </w:r>
      <w:r w:rsidR="007904AE" w:rsidRPr="008A0977">
        <w:rPr>
          <w:b/>
          <w:sz w:val="26"/>
          <w:szCs w:val="26"/>
        </w:rPr>
        <w:t>15 - 30</w:t>
      </w:r>
      <w:r w:rsidRPr="008A0977">
        <w:rPr>
          <w:b/>
          <w:sz w:val="26"/>
          <w:szCs w:val="26"/>
        </w:rPr>
        <w:t xml:space="preserve"> min)</w:t>
      </w:r>
    </w:p>
    <w:p w14:paraId="30190945" w14:textId="58BF4D9F" w:rsidR="00D65C2D" w:rsidRDefault="00591749" w:rsidP="008A0977">
      <w:pPr>
        <w:pStyle w:val="NoSpacing"/>
      </w:pPr>
      <w:r>
        <w:t xml:space="preserve">Complete the reflection questions (click on the button below) at least 24h prior to your course start date. </w:t>
      </w:r>
    </w:p>
    <w:p w14:paraId="1250D67D" w14:textId="6F1956E9" w:rsidR="00591749" w:rsidRPr="00591749" w:rsidRDefault="00591749" w:rsidP="00591749">
      <w:pPr>
        <w:rPr>
          <w:b/>
        </w:rPr>
      </w:pPr>
      <w:r w:rsidRPr="00591749">
        <w:rPr>
          <w:b/>
        </w:rPr>
        <w:t>Go to</w:t>
      </w:r>
      <w:r>
        <w:rPr>
          <w:b/>
        </w:rPr>
        <w:t xml:space="preserve"> &gt;</w:t>
      </w:r>
      <w:r w:rsidRPr="00591749">
        <w:rPr>
          <w:b/>
        </w:rPr>
        <w:t xml:space="preserve"> </w:t>
      </w:r>
      <w:hyperlink r:id="rId12" w:history="1">
        <w:r w:rsidRPr="00591749">
          <w:rPr>
            <w:rStyle w:val="Hyperlink"/>
            <w:b/>
          </w:rPr>
          <w:t>Reflection Questions</w:t>
        </w:r>
      </w:hyperlink>
    </w:p>
    <w:p w14:paraId="6D7ED45F" w14:textId="17A8BE04" w:rsidR="004E5C12" w:rsidRDefault="004E5C12" w:rsidP="008A0977">
      <w:pPr>
        <w:pStyle w:val="NoSpacing"/>
      </w:pPr>
      <w:bookmarkStart w:id="0" w:name="_GoBack"/>
      <w:bookmarkEnd w:id="0"/>
    </w:p>
    <w:p w14:paraId="59684124" w14:textId="2A2F15D3" w:rsidR="00BA76AD" w:rsidRDefault="004E5B3C" w:rsidP="00BA76AD">
      <w:pPr>
        <w:rPr>
          <w:b/>
          <w:sz w:val="26"/>
          <w:szCs w:val="26"/>
        </w:rPr>
      </w:pPr>
      <w:r>
        <w:rPr>
          <w:noProof/>
        </w:rPr>
        <w:drawing>
          <wp:inline distT="0" distB="0" distL="0" distR="0" wp14:anchorId="6565B26A" wp14:editId="2EBE8CF1">
            <wp:extent cx="6389226" cy="9323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1487" cy="9340945"/>
                    </a:xfrm>
                    <a:prstGeom prst="rect">
                      <a:avLst/>
                    </a:prstGeom>
                  </pic:spPr>
                </pic:pic>
              </a:graphicData>
            </a:graphic>
          </wp:inline>
        </w:drawing>
      </w:r>
    </w:p>
    <w:sectPr w:rsidR="00BA76AD" w:rsidSect="002D533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87899" w14:textId="77777777" w:rsidR="00E11B3C" w:rsidRDefault="00E11B3C" w:rsidP="00426992">
      <w:pPr>
        <w:spacing w:after="0" w:line="240" w:lineRule="auto"/>
      </w:pPr>
      <w:r>
        <w:separator/>
      </w:r>
    </w:p>
  </w:endnote>
  <w:endnote w:type="continuationSeparator" w:id="0">
    <w:p w14:paraId="06292589" w14:textId="77777777" w:rsidR="00E11B3C" w:rsidRDefault="00E11B3C" w:rsidP="0042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75057"/>
      <w:docPartObj>
        <w:docPartGallery w:val="Page Numbers (Bottom of Page)"/>
        <w:docPartUnique/>
      </w:docPartObj>
    </w:sdtPr>
    <w:sdtEndPr>
      <w:rPr>
        <w:noProof/>
      </w:rPr>
    </w:sdtEndPr>
    <w:sdtContent>
      <w:p w14:paraId="0D8F4C76" w14:textId="49AC6559" w:rsidR="005309F4" w:rsidRDefault="005309F4">
        <w:pPr>
          <w:pStyle w:val="Footer"/>
          <w:jc w:val="right"/>
        </w:pPr>
        <w:r>
          <w:fldChar w:fldCharType="begin"/>
        </w:r>
        <w:r>
          <w:instrText xml:space="preserve"> PAGE   \* MERGEFORMAT </w:instrText>
        </w:r>
        <w:r>
          <w:fldChar w:fldCharType="separate"/>
        </w:r>
        <w:r w:rsidR="00432131">
          <w:rPr>
            <w:noProof/>
          </w:rPr>
          <w:t>1</w:t>
        </w:r>
        <w:r>
          <w:rPr>
            <w:noProof/>
          </w:rPr>
          <w:fldChar w:fldCharType="end"/>
        </w:r>
      </w:p>
    </w:sdtContent>
  </w:sdt>
  <w:p w14:paraId="2E0AA687" w14:textId="77777777" w:rsidR="005309F4" w:rsidRDefault="00530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412C" w14:textId="77777777" w:rsidR="00E11B3C" w:rsidRDefault="00E11B3C" w:rsidP="00426992">
      <w:pPr>
        <w:spacing w:after="0" w:line="240" w:lineRule="auto"/>
      </w:pPr>
      <w:r>
        <w:separator/>
      </w:r>
    </w:p>
  </w:footnote>
  <w:footnote w:type="continuationSeparator" w:id="0">
    <w:p w14:paraId="4AFDF0F2" w14:textId="77777777" w:rsidR="00E11B3C" w:rsidRDefault="00E11B3C" w:rsidP="00426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E5"/>
    <w:multiLevelType w:val="hybridMultilevel"/>
    <w:tmpl w:val="086A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138F"/>
    <w:multiLevelType w:val="hybridMultilevel"/>
    <w:tmpl w:val="178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E3411"/>
    <w:multiLevelType w:val="hybridMultilevel"/>
    <w:tmpl w:val="3FAE79DC"/>
    <w:lvl w:ilvl="0" w:tplc="AB487C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E5963"/>
    <w:multiLevelType w:val="hybridMultilevel"/>
    <w:tmpl w:val="F2EA7B90"/>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430DC"/>
    <w:multiLevelType w:val="hybridMultilevel"/>
    <w:tmpl w:val="595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84453"/>
    <w:multiLevelType w:val="hybridMultilevel"/>
    <w:tmpl w:val="D8EA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335F5"/>
    <w:multiLevelType w:val="hybridMultilevel"/>
    <w:tmpl w:val="5F9A04AA"/>
    <w:lvl w:ilvl="0" w:tplc="37F8A222">
      <w:start w:val="1"/>
      <w:numFmt w:val="bullet"/>
      <w:lvlText w:val="•"/>
      <w:lvlJc w:val="left"/>
      <w:pPr>
        <w:tabs>
          <w:tab w:val="num" w:pos="720"/>
        </w:tabs>
        <w:ind w:left="720" w:hanging="360"/>
      </w:pPr>
      <w:rPr>
        <w:rFonts w:ascii="Arial" w:hAnsi="Arial" w:hint="default"/>
      </w:rPr>
    </w:lvl>
    <w:lvl w:ilvl="1" w:tplc="9FC00090" w:tentative="1">
      <w:start w:val="1"/>
      <w:numFmt w:val="bullet"/>
      <w:lvlText w:val="•"/>
      <w:lvlJc w:val="left"/>
      <w:pPr>
        <w:tabs>
          <w:tab w:val="num" w:pos="1440"/>
        </w:tabs>
        <w:ind w:left="1440" w:hanging="360"/>
      </w:pPr>
      <w:rPr>
        <w:rFonts w:ascii="Arial" w:hAnsi="Arial" w:hint="default"/>
      </w:rPr>
    </w:lvl>
    <w:lvl w:ilvl="2" w:tplc="08A4E0F6" w:tentative="1">
      <w:start w:val="1"/>
      <w:numFmt w:val="bullet"/>
      <w:lvlText w:val="•"/>
      <w:lvlJc w:val="left"/>
      <w:pPr>
        <w:tabs>
          <w:tab w:val="num" w:pos="2160"/>
        </w:tabs>
        <w:ind w:left="2160" w:hanging="360"/>
      </w:pPr>
      <w:rPr>
        <w:rFonts w:ascii="Arial" w:hAnsi="Arial" w:hint="default"/>
      </w:rPr>
    </w:lvl>
    <w:lvl w:ilvl="3" w:tplc="DCAE880C" w:tentative="1">
      <w:start w:val="1"/>
      <w:numFmt w:val="bullet"/>
      <w:lvlText w:val="•"/>
      <w:lvlJc w:val="left"/>
      <w:pPr>
        <w:tabs>
          <w:tab w:val="num" w:pos="2880"/>
        </w:tabs>
        <w:ind w:left="2880" w:hanging="360"/>
      </w:pPr>
      <w:rPr>
        <w:rFonts w:ascii="Arial" w:hAnsi="Arial" w:hint="default"/>
      </w:rPr>
    </w:lvl>
    <w:lvl w:ilvl="4" w:tplc="D2B8711A" w:tentative="1">
      <w:start w:val="1"/>
      <w:numFmt w:val="bullet"/>
      <w:lvlText w:val="•"/>
      <w:lvlJc w:val="left"/>
      <w:pPr>
        <w:tabs>
          <w:tab w:val="num" w:pos="3600"/>
        </w:tabs>
        <w:ind w:left="3600" w:hanging="360"/>
      </w:pPr>
      <w:rPr>
        <w:rFonts w:ascii="Arial" w:hAnsi="Arial" w:hint="default"/>
      </w:rPr>
    </w:lvl>
    <w:lvl w:ilvl="5" w:tplc="68C6EB0A" w:tentative="1">
      <w:start w:val="1"/>
      <w:numFmt w:val="bullet"/>
      <w:lvlText w:val="•"/>
      <w:lvlJc w:val="left"/>
      <w:pPr>
        <w:tabs>
          <w:tab w:val="num" w:pos="4320"/>
        </w:tabs>
        <w:ind w:left="4320" w:hanging="360"/>
      </w:pPr>
      <w:rPr>
        <w:rFonts w:ascii="Arial" w:hAnsi="Arial" w:hint="default"/>
      </w:rPr>
    </w:lvl>
    <w:lvl w:ilvl="6" w:tplc="7416D308" w:tentative="1">
      <w:start w:val="1"/>
      <w:numFmt w:val="bullet"/>
      <w:lvlText w:val="•"/>
      <w:lvlJc w:val="left"/>
      <w:pPr>
        <w:tabs>
          <w:tab w:val="num" w:pos="5040"/>
        </w:tabs>
        <w:ind w:left="5040" w:hanging="360"/>
      </w:pPr>
      <w:rPr>
        <w:rFonts w:ascii="Arial" w:hAnsi="Arial" w:hint="default"/>
      </w:rPr>
    </w:lvl>
    <w:lvl w:ilvl="7" w:tplc="62D027C8" w:tentative="1">
      <w:start w:val="1"/>
      <w:numFmt w:val="bullet"/>
      <w:lvlText w:val="•"/>
      <w:lvlJc w:val="left"/>
      <w:pPr>
        <w:tabs>
          <w:tab w:val="num" w:pos="5760"/>
        </w:tabs>
        <w:ind w:left="5760" w:hanging="360"/>
      </w:pPr>
      <w:rPr>
        <w:rFonts w:ascii="Arial" w:hAnsi="Arial" w:hint="default"/>
      </w:rPr>
    </w:lvl>
    <w:lvl w:ilvl="8" w:tplc="66E02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4E3D37"/>
    <w:multiLevelType w:val="hybridMultilevel"/>
    <w:tmpl w:val="D9DECD12"/>
    <w:lvl w:ilvl="0" w:tplc="DAF4677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C6BE1"/>
    <w:multiLevelType w:val="hybridMultilevel"/>
    <w:tmpl w:val="86E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04276"/>
    <w:multiLevelType w:val="hybridMultilevel"/>
    <w:tmpl w:val="1988CCD8"/>
    <w:lvl w:ilvl="0" w:tplc="A08A54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82AA0"/>
    <w:multiLevelType w:val="hybridMultilevel"/>
    <w:tmpl w:val="CB08AE6C"/>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93D13"/>
    <w:multiLevelType w:val="hybridMultilevel"/>
    <w:tmpl w:val="74208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7B789B"/>
    <w:multiLevelType w:val="hybridMultilevel"/>
    <w:tmpl w:val="5C662378"/>
    <w:lvl w:ilvl="0" w:tplc="0CFA4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404C3"/>
    <w:multiLevelType w:val="hybridMultilevel"/>
    <w:tmpl w:val="C52CE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9793F"/>
    <w:multiLevelType w:val="hybridMultilevel"/>
    <w:tmpl w:val="FED02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A0D4E"/>
    <w:multiLevelType w:val="hybridMultilevel"/>
    <w:tmpl w:val="4B8462AE"/>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33F9A"/>
    <w:multiLevelType w:val="hybridMultilevel"/>
    <w:tmpl w:val="5360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7788C"/>
    <w:multiLevelType w:val="hybridMultilevel"/>
    <w:tmpl w:val="D99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85F07"/>
    <w:multiLevelType w:val="hybridMultilevel"/>
    <w:tmpl w:val="D088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E7B8B"/>
    <w:multiLevelType w:val="hybridMultilevel"/>
    <w:tmpl w:val="BCA208BC"/>
    <w:lvl w:ilvl="0" w:tplc="9626A9A4">
      <w:numFmt w:val="bullet"/>
      <w:lvlText w:val="•"/>
      <w:lvlJc w:val="left"/>
      <w:pPr>
        <w:ind w:left="1080" w:hanging="720"/>
      </w:pPr>
      <w:rPr>
        <w:rFonts w:ascii="Calibri" w:eastAsiaTheme="minorHAns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759DB"/>
    <w:multiLevelType w:val="hybridMultilevel"/>
    <w:tmpl w:val="78641DAA"/>
    <w:lvl w:ilvl="0" w:tplc="AB487C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A72F3"/>
    <w:multiLevelType w:val="hybridMultilevel"/>
    <w:tmpl w:val="395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51AB8"/>
    <w:multiLevelType w:val="hybridMultilevel"/>
    <w:tmpl w:val="4C0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57AC7"/>
    <w:multiLevelType w:val="hybridMultilevel"/>
    <w:tmpl w:val="B07C06A0"/>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D5920"/>
    <w:multiLevelType w:val="hybridMultilevel"/>
    <w:tmpl w:val="C88E7B42"/>
    <w:lvl w:ilvl="0" w:tplc="AB487C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D2F9A"/>
    <w:multiLevelType w:val="hybridMultilevel"/>
    <w:tmpl w:val="A090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30274"/>
    <w:multiLevelType w:val="hybridMultilevel"/>
    <w:tmpl w:val="80A6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A2F87"/>
    <w:multiLevelType w:val="hybridMultilevel"/>
    <w:tmpl w:val="D088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C4E53"/>
    <w:multiLevelType w:val="hybridMultilevel"/>
    <w:tmpl w:val="0AC6B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4E1426"/>
    <w:multiLevelType w:val="hybridMultilevel"/>
    <w:tmpl w:val="3D4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374FF"/>
    <w:multiLevelType w:val="hybridMultilevel"/>
    <w:tmpl w:val="691CCA46"/>
    <w:lvl w:ilvl="0" w:tplc="02E2F73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582A"/>
    <w:multiLevelType w:val="hybridMultilevel"/>
    <w:tmpl w:val="1B7E105A"/>
    <w:lvl w:ilvl="0" w:tplc="04090001">
      <w:start w:val="1"/>
      <w:numFmt w:val="bullet"/>
      <w:lvlText w:val=""/>
      <w:lvlJc w:val="left"/>
      <w:pPr>
        <w:ind w:left="1080" w:hanging="360"/>
      </w:pPr>
      <w:rPr>
        <w:rFonts w:ascii="Symbol" w:hAnsi="Symbol" w:hint="default"/>
      </w:rPr>
    </w:lvl>
    <w:lvl w:ilvl="1" w:tplc="D376F4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D7051"/>
    <w:multiLevelType w:val="hybridMultilevel"/>
    <w:tmpl w:val="571A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25D4F"/>
    <w:multiLevelType w:val="hybridMultilevel"/>
    <w:tmpl w:val="E7E4964E"/>
    <w:lvl w:ilvl="0" w:tplc="A08A5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147DC"/>
    <w:multiLevelType w:val="hybridMultilevel"/>
    <w:tmpl w:val="EEB6796A"/>
    <w:lvl w:ilvl="0" w:tplc="769A807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3"/>
  </w:num>
  <w:num w:numId="4">
    <w:abstractNumId w:val="1"/>
  </w:num>
  <w:num w:numId="5">
    <w:abstractNumId w:val="29"/>
  </w:num>
  <w:num w:numId="6">
    <w:abstractNumId w:val="26"/>
  </w:num>
  <w:num w:numId="7">
    <w:abstractNumId w:val="10"/>
  </w:num>
  <w:num w:numId="8">
    <w:abstractNumId w:val="22"/>
  </w:num>
  <w:num w:numId="9">
    <w:abstractNumId w:val="9"/>
  </w:num>
  <w:num w:numId="10">
    <w:abstractNumId w:val="14"/>
  </w:num>
  <w:num w:numId="11">
    <w:abstractNumId w:val="4"/>
  </w:num>
  <w:num w:numId="12">
    <w:abstractNumId w:val="25"/>
  </w:num>
  <w:num w:numId="13">
    <w:abstractNumId w:val="11"/>
  </w:num>
  <w:num w:numId="14">
    <w:abstractNumId w:val="27"/>
  </w:num>
  <w:num w:numId="15">
    <w:abstractNumId w:val="31"/>
  </w:num>
  <w:num w:numId="16">
    <w:abstractNumId w:val="32"/>
  </w:num>
  <w:num w:numId="17">
    <w:abstractNumId w:val="15"/>
  </w:num>
  <w:num w:numId="18">
    <w:abstractNumId w:val="30"/>
  </w:num>
  <w:num w:numId="19">
    <w:abstractNumId w:val="3"/>
  </w:num>
  <w:num w:numId="20">
    <w:abstractNumId w:val="16"/>
  </w:num>
  <w:num w:numId="21">
    <w:abstractNumId w:val="7"/>
  </w:num>
  <w:num w:numId="22">
    <w:abstractNumId w:val="33"/>
  </w:num>
  <w:num w:numId="23">
    <w:abstractNumId w:val="21"/>
  </w:num>
  <w:num w:numId="24">
    <w:abstractNumId w:val="8"/>
  </w:num>
  <w:num w:numId="25">
    <w:abstractNumId w:val="5"/>
  </w:num>
  <w:num w:numId="26">
    <w:abstractNumId w:val="20"/>
  </w:num>
  <w:num w:numId="27">
    <w:abstractNumId w:val="2"/>
  </w:num>
  <w:num w:numId="28">
    <w:abstractNumId w:val="24"/>
  </w:num>
  <w:num w:numId="29">
    <w:abstractNumId w:val="19"/>
  </w:num>
  <w:num w:numId="30">
    <w:abstractNumId w:val="28"/>
  </w:num>
  <w:num w:numId="31">
    <w:abstractNumId w:val="17"/>
  </w:num>
  <w:num w:numId="32">
    <w:abstractNumId w:val="12"/>
  </w:num>
  <w:num w:numId="33">
    <w:abstractNumId w:val="34"/>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63"/>
    <w:rsid w:val="00061AEB"/>
    <w:rsid w:val="00161575"/>
    <w:rsid w:val="001D250C"/>
    <w:rsid w:val="001D6540"/>
    <w:rsid w:val="0021188C"/>
    <w:rsid w:val="002D5334"/>
    <w:rsid w:val="0039709A"/>
    <w:rsid w:val="003E6E71"/>
    <w:rsid w:val="00403BAB"/>
    <w:rsid w:val="00404430"/>
    <w:rsid w:val="00411FB1"/>
    <w:rsid w:val="00426977"/>
    <w:rsid w:val="00426992"/>
    <w:rsid w:val="00432131"/>
    <w:rsid w:val="00436618"/>
    <w:rsid w:val="004A3F49"/>
    <w:rsid w:val="004E5B3C"/>
    <w:rsid w:val="004E5C12"/>
    <w:rsid w:val="005309F4"/>
    <w:rsid w:val="0056239D"/>
    <w:rsid w:val="00591749"/>
    <w:rsid w:val="005E60A1"/>
    <w:rsid w:val="0061069B"/>
    <w:rsid w:val="00626700"/>
    <w:rsid w:val="006475F9"/>
    <w:rsid w:val="0069639C"/>
    <w:rsid w:val="006B18FF"/>
    <w:rsid w:val="007904AE"/>
    <w:rsid w:val="007A4C59"/>
    <w:rsid w:val="007B0CD6"/>
    <w:rsid w:val="007C0981"/>
    <w:rsid w:val="007C7C8E"/>
    <w:rsid w:val="007D1BE7"/>
    <w:rsid w:val="007E4563"/>
    <w:rsid w:val="007F5F59"/>
    <w:rsid w:val="00891A10"/>
    <w:rsid w:val="008A0977"/>
    <w:rsid w:val="008C1EE5"/>
    <w:rsid w:val="009B2044"/>
    <w:rsid w:val="009B5FAE"/>
    <w:rsid w:val="00A106E0"/>
    <w:rsid w:val="00A146E0"/>
    <w:rsid w:val="00B03227"/>
    <w:rsid w:val="00B72731"/>
    <w:rsid w:val="00BA76AD"/>
    <w:rsid w:val="00BB558D"/>
    <w:rsid w:val="00BC3FAF"/>
    <w:rsid w:val="00BC6B11"/>
    <w:rsid w:val="00BD3793"/>
    <w:rsid w:val="00C11B15"/>
    <w:rsid w:val="00C51D63"/>
    <w:rsid w:val="00C633B8"/>
    <w:rsid w:val="00C8761E"/>
    <w:rsid w:val="00D03919"/>
    <w:rsid w:val="00D077AA"/>
    <w:rsid w:val="00D1139C"/>
    <w:rsid w:val="00D65C2D"/>
    <w:rsid w:val="00DA6B2B"/>
    <w:rsid w:val="00DA778A"/>
    <w:rsid w:val="00DC44A8"/>
    <w:rsid w:val="00E11B3C"/>
    <w:rsid w:val="00E757E6"/>
    <w:rsid w:val="00ED355B"/>
    <w:rsid w:val="00ED6C55"/>
    <w:rsid w:val="00F148A6"/>
    <w:rsid w:val="00F40F3F"/>
    <w:rsid w:val="00FE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20F1"/>
  <w15:chartTrackingRefBased/>
  <w15:docId w15:val="{E3D99583-815F-40DC-8D2D-8BA7F79E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34"/>
  </w:style>
  <w:style w:type="paragraph" w:styleId="Heading1">
    <w:name w:val="heading 1"/>
    <w:basedOn w:val="Normal"/>
    <w:next w:val="Normal"/>
    <w:link w:val="Heading1Char"/>
    <w:uiPriority w:val="9"/>
    <w:qFormat/>
    <w:rsid w:val="00411FB1"/>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411FB1"/>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411FB1"/>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411FB1"/>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411FB1"/>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411FB1"/>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411FB1"/>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411FB1"/>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411FB1"/>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FB1"/>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semiHidden/>
    <w:rsid w:val="00411FB1"/>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411FB1"/>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411FB1"/>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411FB1"/>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411FB1"/>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411FB1"/>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411FB1"/>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411FB1"/>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411FB1"/>
    <w:pPr>
      <w:spacing w:line="240" w:lineRule="auto"/>
    </w:pPr>
    <w:rPr>
      <w:b/>
      <w:bCs/>
      <w:smallCaps/>
      <w:color w:val="335B74" w:themeColor="text2"/>
    </w:rPr>
  </w:style>
  <w:style w:type="paragraph" w:styleId="Title">
    <w:name w:val="Title"/>
    <w:basedOn w:val="Normal"/>
    <w:next w:val="Normal"/>
    <w:link w:val="TitleChar"/>
    <w:uiPriority w:val="10"/>
    <w:qFormat/>
    <w:rsid w:val="00411FB1"/>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411FB1"/>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411FB1"/>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411FB1"/>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411FB1"/>
    <w:rPr>
      <w:b/>
      <w:bCs/>
    </w:rPr>
  </w:style>
  <w:style w:type="character" w:styleId="Emphasis">
    <w:name w:val="Emphasis"/>
    <w:basedOn w:val="DefaultParagraphFont"/>
    <w:uiPriority w:val="20"/>
    <w:qFormat/>
    <w:rsid w:val="00411FB1"/>
    <w:rPr>
      <w:i/>
      <w:iCs/>
    </w:rPr>
  </w:style>
  <w:style w:type="paragraph" w:styleId="NoSpacing">
    <w:name w:val="No Spacing"/>
    <w:uiPriority w:val="1"/>
    <w:qFormat/>
    <w:rsid w:val="00411FB1"/>
    <w:pPr>
      <w:spacing w:after="0" w:line="240" w:lineRule="auto"/>
    </w:pPr>
  </w:style>
  <w:style w:type="paragraph" w:styleId="ListParagraph">
    <w:name w:val="List Paragraph"/>
    <w:basedOn w:val="Normal"/>
    <w:uiPriority w:val="34"/>
    <w:qFormat/>
    <w:rsid w:val="00411FB1"/>
    <w:pPr>
      <w:ind w:left="720"/>
      <w:contextualSpacing/>
    </w:pPr>
  </w:style>
  <w:style w:type="paragraph" w:styleId="Quote">
    <w:name w:val="Quote"/>
    <w:basedOn w:val="Normal"/>
    <w:next w:val="Normal"/>
    <w:link w:val="QuoteChar"/>
    <w:uiPriority w:val="29"/>
    <w:qFormat/>
    <w:rsid w:val="00411FB1"/>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411FB1"/>
    <w:rPr>
      <w:color w:val="335B74" w:themeColor="text2"/>
      <w:sz w:val="24"/>
      <w:szCs w:val="24"/>
    </w:rPr>
  </w:style>
  <w:style w:type="paragraph" w:styleId="IntenseQuote">
    <w:name w:val="Intense Quote"/>
    <w:basedOn w:val="Normal"/>
    <w:next w:val="Normal"/>
    <w:link w:val="IntenseQuoteChar"/>
    <w:uiPriority w:val="30"/>
    <w:qFormat/>
    <w:rsid w:val="00411FB1"/>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411FB1"/>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411FB1"/>
    <w:rPr>
      <w:i/>
      <w:iCs/>
      <w:color w:val="595959" w:themeColor="text1" w:themeTint="A6"/>
    </w:rPr>
  </w:style>
  <w:style w:type="character" w:styleId="IntenseEmphasis">
    <w:name w:val="Intense Emphasis"/>
    <w:basedOn w:val="DefaultParagraphFont"/>
    <w:uiPriority w:val="21"/>
    <w:qFormat/>
    <w:rsid w:val="00411FB1"/>
    <w:rPr>
      <w:b/>
      <w:bCs/>
      <w:i/>
      <w:iCs/>
    </w:rPr>
  </w:style>
  <w:style w:type="character" w:styleId="SubtleReference">
    <w:name w:val="Subtle Reference"/>
    <w:basedOn w:val="DefaultParagraphFont"/>
    <w:uiPriority w:val="31"/>
    <w:qFormat/>
    <w:rsid w:val="00411F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1FB1"/>
    <w:rPr>
      <w:b/>
      <w:bCs/>
      <w:smallCaps/>
      <w:color w:val="335B74" w:themeColor="text2"/>
      <w:u w:val="single"/>
    </w:rPr>
  </w:style>
  <w:style w:type="character" w:styleId="BookTitle">
    <w:name w:val="Book Title"/>
    <w:basedOn w:val="DefaultParagraphFont"/>
    <w:uiPriority w:val="33"/>
    <w:qFormat/>
    <w:rsid w:val="00411FB1"/>
    <w:rPr>
      <w:b/>
      <w:bCs/>
      <w:smallCaps/>
      <w:spacing w:val="10"/>
    </w:rPr>
  </w:style>
  <w:style w:type="paragraph" w:styleId="TOCHeading">
    <w:name w:val="TOC Heading"/>
    <w:basedOn w:val="Heading1"/>
    <w:next w:val="Normal"/>
    <w:uiPriority w:val="39"/>
    <w:semiHidden/>
    <w:unhideWhenUsed/>
    <w:qFormat/>
    <w:rsid w:val="00411FB1"/>
    <w:pPr>
      <w:outlineLvl w:val="9"/>
    </w:pPr>
  </w:style>
  <w:style w:type="paragraph" w:styleId="NormalWeb">
    <w:name w:val="Normal (Web)"/>
    <w:basedOn w:val="Normal"/>
    <w:uiPriority w:val="99"/>
    <w:unhideWhenUsed/>
    <w:rsid w:val="007E45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4563"/>
    <w:rPr>
      <w:sz w:val="16"/>
      <w:szCs w:val="16"/>
    </w:rPr>
  </w:style>
  <w:style w:type="paragraph" w:styleId="CommentText">
    <w:name w:val="annotation text"/>
    <w:basedOn w:val="Normal"/>
    <w:link w:val="CommentTextChar"/>
    <w:uiPriority w:val="99"/>
    <w:unhideWhenUsed/>
    <w:rsid w:val="007E4563"/>
    <w:pPr>
      <w:spacing w:line="240" w:lineRule="auto"/>
    </w:pPr>
    <w:rPr>
      <w:sz w:val="20"/>
      <w:szCs w:val="20"/>
    </w:rPr>
  </w:style>
  <w:style w:type="character" w:customStyle="1" w:styleId="CommentTextChar">
    <w:name w:val="Comment Text Char"/>
    <w:basedOn w:val="DefaultParagraphFont"/>
    <w:link w:val="CommentText"/>
    <w:uiPriority w:val="99"/>
    <w:rsid w:val="007E4563"/>
    <w:rPr>
      <w:sz w:val="20"/>
      <w:szCs w:val="20"/>
    </w:rPr>
  </w:style>
  <w:style w:type="paragraph" w:styleId="CommentSubject">
    <w:name w:val="annotation subject"/>
    <w:basedOn w:val="CommentText"/>
    <w:next w:val="CommentText"/>
    <w:link w:val="CommentSubjectChar"/>
    <w:uiPriority w:val="99"/>
    <w:semiHidden/>
    <w:unhideWhenUsed/>
    <w:rsid w:val="007E4563"/>
    <w:rPr>
      <w:b/>
      <w:bCs/>
    </w:rPr>
  </w:style>
  <w:style w:type="character" w:customStyle="1" w:styleId="CommentSubjectChar">
    <w:name w:val="Comment Subject Char"/>
    <w:basedOn w:val="CommentTextChar"/>
    <w:link w:val="CommentSubject"/>
    <w:uiPriority w:val="99"/>
    <w:semiHidden/>
    <w:rsid w:val="007E4563"/>
    <w:rPr>
      <w:b/>
      <w:bCs/>
      <w:sz w:val="20"/>
      <w:szCs w:val="20"/>
    </w:rPr>
  </w:style>
  <w:style w:type="paragraph" w:styleId="BalloonText">
    <w:name w:val="Balloon Text"/>
    <w:basedOn w:val="Normal"/>
    <w:link w:val="BalloonTextChar"/>
    <w:uiPriority w:val="99"/>
    <w:semiHidden/>
    <w:unhideWhenUsed/>
    <w:rsid w:val="007E4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63"/>
    <w:rPr>
      <w:rFonts w:ascii="Segoe UI" w:hAnsi="Segoe UI" w:cs="Segoe UI"/>
      <w:sz w:val="18"/>
      <w:szCs w:val="18"/>
    </w:rPr>
  </w:style>
  <w:style w:type="paragraph" w:styleId="Header">
    <w:name w:val="header"/>
    <w:basedOn w:val="Normal"/>
    <w:link w:val="HeaderChar"/>
    <w:uiPriority w:val="99"/>
    <w:unhideWhenUsed/>
    <w:rsid w:val="0042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92"/>
  </w:style>
  <w:style w:type="paragraph" w:styleId="Footer">
    <w:name w:val="footer"/>
    <w:basedOn w:val="Normal"/>
    <w:link w:val="FooterChar"/>
    <w:uiPriority w:val="99"/>
    <w:unhideWhenUsed/>
    <w:rsid w:val="0042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92"/>
  </w:style>
  <w:style w:type="character" w:styleId="Hyperlink">
    <w:name w:val="Hyperlink"/>
    <w:basedOn w:val="DefaultParagraphFont"/>
    <w:uiPriority w:val="99"/>
    <w:unhideWhenUsed/>
    <w:rsid w:val="00426992"/>
    <w:rPr>
      <w:color w:val="0000FF"/>
      <w:u w:val="single"/>
    </w:rPr>
  </w:style>
  <w:style w:type="table" w:styleId="TableGrid">
    <w:name w:val="Table Grid"/>
    <w:basedOn w:val="TableNormal"/>
    <w:uiPriority w:val="39"/>
    <w:rsid w:val="00B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5C2D"/>
    <w:rPr>
      <w:color w:val="B26B02" w:themeColor="followedHyperlink"/>
      <w:u w:val="single"/>
    </w:rPr>
  </w:style>
  <w:style w:type="table" w:styleId="TableGridLight">
    <w:name w:val="Grid Table Light"/>
    <w:basedOn w:val="TableNormal"/>
    <w:uiPriority w:val="40"/>
    <w:rsid w:val="007B0C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838">
      <w:bodyDiv w:val="1"/>
      <w:marLeft w:val="0"/>
      <w:marRight w:val="0"/>
      <w:marTop w:val="0"/>
      <w:marBottom w:val="0"/>
      <w:divBdr>
        <w:top w:val="none" w:sz="0" w:space="0" w:color="auto"/>
        <w:left w:val="none" w:sz="0" w:space="0" w:color="auto"/>
        <w:bottom w:val="none" w:sz="0" w:space="0" w:color="auto"/>
        <w:right w:val="none" w:sz="0" w:space="0" w:color="auto"/>
      </w:divBdr>
    </w:div>
    <w:div w:id="88284322">
      <w:bodyDiv w:val="1"/>
      <w:marLeft w:val="0"/>
      <w:marRight w:val="0"/>
      <w:marTop w:val="0"/>
      <w:marBottom w:val="0"/>
      <w:divBdr>
        <w:top w:val="none" w:sz="0" w:space="0" w:color="auto"/>
        <w:left w:val="none" w:sz="0" w:space="0" w:color="auto"/>
        <w:bottom w:val="none" w:sz="0" w:space="0" w:color="auto"/>
        <w:right w:val="none" w:sz="0" w:space="0" w:color="auto"/>
      </w:divBdr>
    </w:div>
    <w:div w:id="841117332">
      <w:bodyDiv w:val="1"/>
      <w:marLeft w:val="0"/>
      <w:marRight w:val="0"/>
      <w:marTop w:val="0"/>
      <w:marBottom w:val="0"/>
      <w:divBdr>
        <w:top w:val="none" w:sz="0" w:space="0" w:color="auto"/>
        <w:left w:val="none" w:sz="0" w:space="0" w:color="auto"/>
        <w:bottom w:val="none" w:sz="0" w:space="0" w:color="auto"/>
        <w:right w:val="none" w:sz="0" w:space="0" w:color="auto"/>
      </w:divBdr>
    </w:div>
    <w:div w:id="1077870982">
      <w:bodyDiv w:val="1"/>
      <w:marLeft w:val="0"/>
      <w:marRight w:val="0"/>
      <w:marTop w:val="0"/>
      <w:marBottom w:val="0"/>
      <w:divBdr>
        <w:top w:val="none" w:sz="0" w:space="0" w:color="auto"/>
        <w:left w:val="none" w:sz="0" w:space="0" w:color="auto"/>
        <w:bottom w:val="none" w:sz="0" w:space="0" w:color="auto"/>
        <w:right w:val="none" w:sz="0" w:space="0" w:color="auto"/>
      </w:divBdr>
      <w:divsChild>
        <w:div w:id="1232546297">
          <w:marLeft w:val="144"/>
          <w:marRight w:val="0"/>
          <w:marTop w:val="240"/>
          <w:marBottom w:val="40"/>
          <w:divBdr>
            <w:top w:val="none" w:sz="0" w:space="0" w:color="auto"/>
            <w:left w:val="none" w:sz="0" w:space="0" w:color="auto"/>
            <w:bottom w:val="none" w:sz="0" w:space="0" w:color="auto"/>
            <w:right w:val="none" w:sz="0" w:space="0" w:color="auto"/>
          </w:divBdr>
        </w:div>
        <w:div w:id="2013757301">
          <w:marLeft w:val="144"/>
          <w:marRight w:val="0"/>
          <w:marTop w:val="240"/>
          <w:marBottom w:val="40"/>
          <w:divBdr>
            <w:top w:val="none" w:sz="0" w:space="0" w:color="auto"/>
            <w:left w:val="none" w:sz="0" w:space="0" w:color="auto"/>
            <w:bottom w:val="none" w:sz="0" w:space="0" w:color="auto"/>
            <w:right w:val="none" w:sz="0" w:space="0" w:color="auto"/>
          </w:divBdr>
        </w:div>
        <w:div w:id="1308977324">
          <w:marLeft w:val="144"/>
          <w:marRight w:val="0"/>
          <w:marTop w:val="240"/>
          <w:marBottom w:val="40"/>
          <w:divBdr>
            <w:top w:val="none" w:sz="0" w:space="0" w:color="auto"/>
            <w:left w:val="none" w:sz="0" w:space="0" w:color="auto"/>
            <w:bottom w:val="none" w:sz="0" w:space="0" w:color="auto"/>
            <w:right w:val="none" w:sz="0" w:space="0" w:color="auto"/>
          </w:divBdr>
        </w:div>
      </w:divsChild>
    </w:div>
    <w:div w:id="15953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LXDPr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PS1\DATA1\Hrroot\Training\L+D\1Course%20Materials\1Course%20Calendar%20Session%20Materials\Learning%20Experience%20Design%20(LXD)%20Courses\LXD%20Cohorts\Cohort%20Feb%202021\Andragogy%20in%20Col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earningindustry.com/the-adult-learning-theory-andragogy-of-malcolm-knowles" TargetMode="External"/><Relationship Id="rId4" Type="http://schemas.openxmlformats.org/officeDocument/2006/relationships/settings" Target="settings.xml"/><Relationship Id="rId9" Type="http://schemas.openxmlformats.org/officeDocument/2006/relationships/hyperlink" Target="https://www.youtube.com/watch?v=pt1RC-tKjtM" TargetMode="External"/><Relationship Id="rId14" Type="http://schemas.openxmlformats.org/officeDocument/2006/relationships/footer" Target="footer1.xml"/></Relationships>
</file>

<file path=word/theme/theme1.xml><?xml version="1.0" encoding="utf-8"?>
<a:theme xmlns:a="http://schemas.openxmlformats.org/drawingml/2006/main" name="City of Madison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05DC-95F0-4F2A-9BE8-64ECC7E0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Bessick, Lindsay</cp:lastModifiedBy>
  <cp:revision>2</cp:revision>
  <dcterms:created xsi:type="dcterms:W3CDTF">2021-01-26T15:44:00Z</dcterms:created>
  <dcterms:modified xsi:type="dcterms:W3CDTF">2021-01-26T15:44:00Z</dcterms:modified>
</cp:coreProperties>
</file>